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3"/>
        <w:tblW w:w="11008" w:type="dxa"/>
        <w:jc w:val="center"/>
        <w:tblInd w:w="-36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79"/>
        <w:gridCol w:w="2141"/>
        <w:gridCol w:w="544"/>
        <w:gridCol w:w="574"/>
        <w:gridCol w:w="5386"/>
        <w:gridCol w:w="236"/>
        <w:gridCol w:w="43"/>
        <w:gridCol w:w="1"/>
        <w:gridCol w:w="581"/>
        <w:gridCol w:w="28"/>
        <w:gridCol w:w="171"/>
        <w:gridCol w:w="8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11008" w:type="dxa"/>
            <w:gridSpan w:val="1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lang w:val="en-US" w:eastAsia="zh-CN" w:bidi="ar"/>
              </w:rPr>
              <w:t>采购需求表（物资类）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5"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项目编号</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sz w:val="20"/>
                <w:szCs w:val="20"/>
                <w:u w:val="none"/>
              </w:rPr>
              <w:t>2025-JQ06-W3026</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项目名称</w:t>
            </w:r>
          </w:p>
        </w:tc>
        <w:tc>
          <w:tcPr>
            <w:tcW w:w="5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新型生物人工肾-生物反应器装置</w:t>
            </w:r>
          </w:p>
        </w:tc>
        <w:tc>
          <w:tcPr>
            <w:tcW w:w="10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最高限价（万元）</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27.96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需求名称</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参数性质</w:t>
            </w:r>
          </w:p>
        </w:tc>
        <w:tc>
          <w:tcPr>
            <w:tcW w:w="619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需求具体内容</w:t>
            </w:r>
          </w:p>
        </w:tc>
        <w:tc>
          <w:tcPr>
            <w:tcW w:w="6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是否量化</w:t>
            </w:r>
          </w:p>
        </w:tc>
        <w:tc>
          <w:tcPr>
            <w:tcW w:w="102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100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基本要求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结合干细胞微载体动态培养的一款外观与功能完美结合的先进生物反应器，设备充分模拟了干细胞在体内生长的三维环境，通过控制温度、pH、DO、转速、通气等参数实现高倍率扩增，收获高活率的细胞。</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2"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容积规格要求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工作体积≥2L</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传感器配置要求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标配原装pH电极，电极测量范围：0-12.0；精度：±0.02；标配DO电极，电极测量范围：0-200%；控制精度：±5%； 标配液位电极可实时监测液位信息，实现高液位报警</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材料与工艺要求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管路、顶盖内表面等工作区域均进行抛光处理，表面光洁度Ra≤0.4um；搅拌轴、搅拌桨等与培养基接触部分均采用316L不锈钢材质，电抛光处理</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搅拌系统设计要求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标配双层细胞斜叶桨，干细胞结合微载体培养工艺设计</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防污染与密封性要求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专利的搅拌轴防护套设计；系统罐盖预留管路接口均采用专利轴径向密封设计</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产品彩页或技术白皮书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9"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流体优化设计要求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罐内不锈钢管路采用弧度设计，流体间隙更大，保证载体组织通过性，大大降低结团聚集风险；</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3"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设备不良事件情况</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厂家自报设备近三年不良事件情况</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3"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配置要求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主机二台</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5"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配套耗材（试剂）要求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开放</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验收标准方法</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jc w:val="center"/>
        </w:trPr>
        <w:tc>
          <w:tcPr>
            <w:tcW w:w="1100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5"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交货时间、交货地点</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合同签订后3个月内交付，交付地点由甲方指定。</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付款及结算方式</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签订合同付（预付）30%，物资到货（服务完成）验收后付65%，验收合格后满1年无质量问题支付剩余5%</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履约保证金/质量保证金</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无</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2"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产品包装和运输要求</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按照国家、行业相关标准规范，产品确保包装完好，运输确保不对产品造成损伤。</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6"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售后服务1</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（质保）</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保修年限不低于2年，全年故障停机时间不高于5%（按365日/年计算)。故障停机每超出1天，按两倍时间延保。</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原厂授权（企业承诺）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1"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售后服务2</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（质保）</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保修期内免费提供定期维护保养服务，免费升级和维护软件，免费提供使用培训。</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售后服务3</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（质保）</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提供不少于2人次、不少于5天的工程师维修培训。</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售后服务4</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（响应时间）</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维修到达现场时间≤0.5个工作日（京内）</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维修到达现场时间≤3个工作日（京外）</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2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备品备件要求（零配件）</w:t>
            </w:r>
          </w:p>
        </w:tc>
        <w:tc>
          <w:tcPr>
            <w:tcW w:w="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62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由供应商承诺设备零配件供应≥8年</w:t>
            </w:r>
          </w:p>
        </w:tc>
        <w:tc>
          <w:tcPr>
            <w:tcW w:w="6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4" w:hRule="atLeast"/>
          <w:jc w:val="center"/>
        </w:trPr>
        <w:tc>
          <w:tcPr>
            <w:tcW w:w="1100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注：</w:t>
            </w:r>
          </w:p>
          <w:p>
            <w:pPr>
              <w:widowControl/>
              <w:ind w:firstLine="0" w:firstLineChars="0"/>
              <w:jc w:val="left"/>
              <w:rPr>
                <w:rFonts w:hint="default" w:ascii="Times New Roman" w:hAnsi="Times New Roman" w:eastAsia="宋体" w:cs="Times New Roman"/>
              </w:rPr>
            </w:pPr>
            <w:r>
              <w:rPr>
                <w:rFonts w:hint="default" w:ascii="Times New Roman" w:hAnsi="Times New Roman" w:eastAsia="宋体" w:cs="Times New Roman"/>
              </w:rPr>
              <w:t>1.★指标为必须响应指标，任意一项不满足要求即做废标处理；</w:t>
            </w:r>
          </w:p>
          <w:p>
            <w:pPr>
              <w:keepNext w:val="0"/>
              <w:keepLines w:val="0"/>
              <w:widowControl/>
              <w:numPr>
                <w:ilvl w:val="0"/>
                <w:numId w:val="0"/>
              </w:numPr>
              <w:suppressLineNumbers w:val="0"/>
              <w:jc w:val="left"/>
              <w:textAlignment w:val="center"/>
              <w:rPr>
                <w:rFonts w:hint="default" w:ascii="Times New Roman" w:hAnsi="Times New Roman" w:eastAsia="宋体" w:cs="Times New Roman"/>
                <w:lang w:eastAsia="zh-CN"/>
              </w:rPr>
            </w:pPr>
            <w:r>
              <w:rPr>
                <w:rFonts w:hint="default" w:ascii="Times New Roman" w:hAnsi="Times New Roman" w:eastAsia="宋体" w:cs="Times New Roman"/>
                <w:lang w:val="en-US" w:eastAsia="zh-CN"/>
              </w:rPr>
              <w:t>2.</w:t>
            </w:r>
            <w:r>
              <w:rPr>
                <w:rFonts w:hint="default" w:ascii="Times New Roman" w:hAnsi="Times New Roman" w:eastAsia="宋体" w:cs="Times New Roman"/>
              </w:rPr>
              <w:t>★及▲标识的指标，需逐条按备注要求提供证明材料，未明确的可由企业提供承诺</w:t>
            </w:r>
            <w:r>
              <w:rPr>
                <w:rFonts w:hint="eastAsia" w:ascii="Times New Roman" w:hAnsi="Times New Roman" w:eastAsia="宋体" w:cs="Times New Roman"/>
                <w:lang w:eastAsia="zh-CN"/>
              </w:rPr>
              <w:t>。本表所要求的“技术白皮书”为：国产产品需加盖生产厂家及投标人公章；进口产品需加盖国内总代理及投标人公章</w:t>
            </w:r>
            <w:bookmarkStart w:id="0" w:name="_GoBack"/>
            <w:bookmarkEnd w:id="0"/>
            <w:r>
              <w:rPr>
                <w:rFonts w:hint="eastAsia" w:ascii="Times New Roman" w:hAnsi="Times New Roman" w:eastAsia="宋体" w:cs="Times New Roman"/>
                <w:lang w:eastAsia="zh-CN"/>
              </w:rPr>
              <w:t>；</w:t>
            </w:r>
          </w:p>
          <w:p>
            <w:pPr>
              <w:keepNext w:val="0"/>
              <w:keepLines w:val="0"/>
              <w:widowControl/>
              <w:suppressLineNumbers w:val="0"/>
              <w:ind w:left="210" w:hanging="210" w:hangingChars="10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lang w:val="en-US" w:eastAsia="zh-CN"/>
              </w:rPr>
              <w:t>3.▲标识的指标负偏离≥2项，投标企业技术分值为0分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▲标识的指标和“无标识”指标负偏离≥2项，投标企业技术分值为0分</w:t>
            </w:r>
            <w:r>
              <w:rPr>
                <w:rFonts w:hint="eastAsia" w:ascii="Times New Roman" w:hAnsi="Times New Roman" w:eastAsia="宋体" w:cs="Times New Roman"/>
                <w:lang w:val="en-US"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473E2"/>
    <w:rsid w:val="0AF55685"/>
    <w:rsid w:val="13044300"/>
    <w:rsid w:val="19925EAD"/>
    <w:rsid w:val="19F1431F"/>
    <w:rsid w:val="1D69040A"/>
    <w:rsid w:val="25280689"/>
    <w:rsid w:val="283514C7"/>
    <w:rsid w:val="39716E4F"/>
    <w:rsid w:val="403C71DC"/>
    <w:rsid w:val="44571F44"/>
    <w:rsid w:val="48D30F5C"/>
    <w:rsid w:val="4CA473E2"/>
    <w:rsid w:val="57963195"/>
    <w:rsid w:val="5F2311F7"/>
    <w:rsid w:val="674C1A9C"/>
    <w:rsid w:val="69C84F8F"/>
    <w:rsid w:val="718657EF"/>
    <w:rsid w:val="754A0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21"/>
    <w:basedOn w:val="4"/>
    <w:qFormat/>
    <w:uiPriority w:val="0"/>
    <w:rPr>
      <w:rFonts w:hint="eastAsia" w:ascii="宋体" w:hAnsi="宋体" w:eastAsia="宋体" w:cs="宋体"/>
      <w:color w:val="000000"/>
      <w:sz w:val="20"/>
      <w:szCs w:val="20"/>
      <w:u w:val="none"/>
    </w:rPr>
  </w:style>
  <w:style w:type="character" w:customStyle="1" w:styleId="7">
    <w:name w:val="font61"/>
    <w:basedOn w:val="4"/>
    <w:qFormat/>
    <w:uiPriority w:val="0"/>
    <w:rPr>
      <w:rFonts w:hint="eastAsia" w:ascii="黑体" w:hAnsi="宋体" w:eastAsia="黑体" w:cs="黑体"/>
      <w:color w:val="000000"/>
      <w:sz w:val="20"/>
      <w:szCs w:val="20"/>
      <w:u w:val="none"/>
    </w:rPr>
  </w:style>
  <w:style w:type="character" w:customStyle="1" w:styleId="8">
    <w:name w:val="font01"/>
    <w:basedOn w:val="4"/>
    <w:qFormat/>
    <w:uiPriority w:val="0"/>
    <w:rPr>
      <w:rFonts w:ascii="Wingdings 2" w:hAnsi="Wingdings 2" w:eastAsia="Wingdings 2" w:cs="Wingdings 2"/>
      <w:color w:val="000000"/>
      <w:sz w:val="20"/>
      <w:szCs w:val="20"/>
      <w:u w:val="none"/>
    </w:rPr>
  </w:style>
  <w:style w:type="character" w:customStyle="1" w:styleId="9">
    <w:name w:val="font51"/>
    <w:basedOn w:val="4"/>
    <w:qFormat/>
    <w:uiPriority w:val="0"/>
    <w:rPr>
      <w:rFonts w:hint="eastAsia" w:ascii="黑体" w:hAnsi="宋体" w:eastAsia="黑体" w:cs="黑体"/>
      <w:color w:val="FF0000"/>
      <w:sz w:val="20"/>
      <w:szCs w:val="20"/>
      <w:u w:val="none"/>
    </w:rPr>
  </w:style>
  <w:style w:type="character" w:customStyle="1" w:styleId="10">
    <w:name w:val="font101"/>
    <w:basedOn w:val="4"/>
    <w:qFormat/>
    <w:uiPriority w:val="0"/>
    <w:rPr>
      <w:rFonts w:hint="eastAsia" w:ascii="宋体" w:hAnsi="宋体" w:eastAsia="宋体" w:cs="宋体"/>
      <w:color w:val="000000"/>
      <w:sz w:val="20"/>
      <w:szCs w:val="20"/>
      <w:u w:val="none"/>
    </w:rPr>
  </w:style>
  <w:style w:type="character" w:customStyle="1" w:styleId="11">
    <w:name w:val="font131"/>
    <w:basedOn w:val="4"/>
    <w:uiPriority w:val="0"/>
    <w:rPr>
      <w:rFonts w:hint="eastAsia" w:ascii="宋体" w:hAnsi="宋体" w:eastAsia="宋体" w:cs="宋体"/>
      <w:color w:val="FF0000"/>
      <w:sz w:val="20"/>
      <w:szCs w:val="20"/>
      <w:u w:val="none"/>
    </w:rPr>
  </w:style>
  <w:style w:type="character" w:customStyle="1" w:styleId="12">
    <w:name w:val="font132"/>
    <w:basedOn w:val="4"/>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2025-04-30T08:16:00Z</dcterms:created>
  <dc:creator>DOCTOR</dc:creator>
  <cp:lastModifiedBy>DOCTOR</cp:lastModifiedBy>
  <dcterms:modified xsi:type="dcterms:W3CDTF">2025-05-15T00:39:41Z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