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94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1902"/>
        <w:gridCol w:w="498"/>
        <w:gridCol w:w="586"/>
        <w:gridCol w:w="5720"/>
        <w:gridCol w:w="137"/>
        <w:gridCol w:w="609"/>
        <w:gridCol w:w="159"/>
        <w:gridCol w:w="7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2025-JQ06-W3027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新型生物人工肾-智能交互调控装置</w:t>
            </w:r>
          </w:p>
        </w:tc>
        <w:tc>
          <w:tcPr>
            <w:tcW w:w="9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9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主要用于生物反应过程的自动化控制与精准调控，旨在为细胞培养、微载体工艺、培养基换液等关键环节提供标准化、可追溯、高精度的环境支持，同时满足GMP法规和数据完整性要求。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控制系统功能要求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PECALS控制系统，配置12英寸高清触摸屏，可设置三级权限管理密码、实现审计追踪、事件日志、数据记录、报警记录等功能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自动化程序要求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自动换液程序，可提前在控制器触摸屏进行工艺预设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搅拌系统设计要求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搅拌系统可设定顺时针或逆时针转动，转速范围0-400rpm，控制精度±1rpm；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搅拌-时间程序要求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智能化搅拌-时间程序预设模式，方便执行微载体工艺；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温控保护程序要求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智能化自动温控保护程序，在转速低于5rpm时，自动降低预设温度，防止局部过热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深层通气系统要求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层通气系统采用Air、O2、CO2、N2四路MFC独立控制的通气模式，自动控制通气量达到最佳的气体分布效果。Air、O2、N2质量流量计范围：5-250mL/min，控制精度1%FS,CO2质量流量计范围：10-500ml/min，控制精度1%FS；标配表层通气；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GMP与数据合规性要求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符合GMP和21CFR Part11法规要求，具有三级管理权限、审计追踪、事件日志功能，报警记录等功能，数据完整可追溯，所有记录可导出不可删除、篡改文件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温度控制系统要求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温度控制系统采用电热毯控温模式，通过PID调控实现精准的温度控制。控制精度±0.1度；温度控制范围：室温+5-40℃，采用铂热温度电极（PT100）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断电重启功能要求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断电自动重启功能，仪器在出现突然断电情况下，恢复供电后可以按照断电之前设定的参数继续运行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蠕动泵配置要求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标配三组Watson Marlow 114 蠕动泵，转速范围：0-300rpm，控制精度：±1rpm，可用于补料、添加碱液、培养液等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数据可视化要求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趋势图界面可同时显示多个过程参数的曲线，可自定义显示不同参数对比曲线；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界面语言与截屏功能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操作界面可切换中英文显示，触摸屏具有截屏功能并支持导出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远程控制功能要求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远程控制功能（设备联网后），实现与手机、PC端实现远程查看与操作，报警可进行微信推送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实时监测与数据记录功能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具有运行参数实时监测、显示、自动数据采集记录功能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数据存储与导出要求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可保存长达1年的数据，原始数据可导出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lang w:val="en-US" w:eastAsia="zh-CN" w:bidi="ar"/>
              </w:rPr>
              <w:t xml:space="preserve"> 设备不良事件情况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主机一台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配套耗材（试剂）要求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9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签订合同付（预付）30%，物资到货（服务完成）验收后付65%，验收合格后满1年无质量问题支付剩余5%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保修年限不低于2年，全年故障停机时间不高于5%（按365日/年计算)。故障停机每超出1天，按两倍时间延保。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提供不少于2人次、不少于5天的工程师维修培训。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109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</w:rPr>
              <w:t>注：</w:t>
            </w:r>
          </w:p>
          <w:p>
            <w:pPr>
              <w:widowControl/>
              <w:ind w:firstLine="0" w:firstLineChars="0"/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</w:rPr>
              <w:t>★及▲标识的指标，需逐条按备注要求提供证明材料，未明确的可由企业提供承诺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。本表所要求的“技术白皮书”为：国产产品需加盖生产厂家及投标人公章；进口产品需加盖国内总代理及投标人公章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lang w:eastAsia="zh-CN"/>
              </w:rPr>
              <w:t>；</w:t>
            </w:r>
          </w:p>
          <w:p>
            <w:pPr>
              <w:ind w:left="210" w:hanging="210" w:hangingChars="100"/>
              <w:jc w:val="both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3.▲标识的指标负偏离≥2项，投标企业技术分值为0分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▲标识的指标和“无标识”指标负偏离≥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项，投标企业技术分值为0分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E0122"/>
    <w:rsid w:val="0D9C673D"/>
    <w:rsid w:val="0E085C2E"/>
    <w:rsid w:val="0ED2130A"/>
    <w:rsid w:val="116E40D8"/>
    <w:rsid w:val="13C729C9"/>
    <w:rsid w:val="14333D13"/>
    <w:rsid w:val="15516F5B"/>
    <w:rsid w:val="155F673A"/>
    <w:rsid w:val="28041C34"/>
    <w:rsid w:val="2C6D3BF5"/>
    <w:rsid w:val="409A7ECA"/>
    <w:rsid w:val="40FA6052"/>
    <w:rsid w:val="44AE0122"/>
    <w:rsid w:val="55FE0C43"/>
    <w:rsid w:val="5F0A50CA"/>
    <w:rsid w:val="7771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character" w:customStyle="1" w:styleId="5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9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10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9">
    <w:name w:val="font121"/>
    <w:basedOn w:val="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2025-04-30T08:54:00Z</dcterms:created>
  <dc:creator>DOCTOR</dc:creator>
  <cp:lastModifiedBy>DOCTOR</cp:lastModifiedBy>
  <dcterms:modified xsi:type="dcterms:W3CDTF">2025-05-15T00:51:16Z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