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按照采购单位提供的技术要求拟制。关键性技术指标参数前标记“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”符号，一般性指标参数前不作标记。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val="en-US" w:eastAsia="zh-CN"/>
        </w:rPr>
        <w:t>带“★”和“▲”条款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需提供技术支持材料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【①技术要求中明确的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技术支持材料以具体项目为准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；②未明确的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（定制产品除外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；③定制产品的技术支持材料可提供响应承诺。】</w:t>
      </w:r>
    </w:p>
    <w:tbl>
      <w:tblPr>
        <w:tblStyle w:val="2"/>
        <w:tblW w:w="4992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739"/>
        <w:gridCol w:w="730"/>
        <w:gridCol w:w="4912"/>
        <w:gridCol w:w="16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需求具体内容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基本要求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巴马小型猪60头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标准规范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符合实验用小型猪各项行业标准（遗传质量、微生物学等级及监测、寄生虫学等级及监测、配合饲料、环境及设施等）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技术指标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重量：25～30kg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配置要求1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提供实验动物的运输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配置要求2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提供每批次实验动物的短期（3～5天）饲料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配置要求3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围手术期兽医麻醉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配置要求4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实验后动物处死及无害化处理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验收标准方法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按照投标文件、采购合同、质量标准等，组织对每批次实验动物进行质量验收。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交货时间、交货地点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合同签订后1年内分2-4批交付全部实验动物，每批次数量、地点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(京冀地区）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由甲方提前7日告知。 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付款及结算方式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每批次交付后结算当次费用。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履约保证金/质量保证金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产品包装和运输要求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使用专用动物运输车辆，符合实验动物福利要求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（质保）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根据国家实验动物管理规定，处死并对尸体进行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无害化处理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保密要求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本项目不接受负偏离，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zh-CN" w:eastAsia="zh-CN" w:bidi="ar"/>
              </w:rPr>
              <w:t>技术、商务指标参数响应承诺书中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进行承诺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</w:p>
        </w:tc>
      </w:tr>
    </w:tbl>
    <w:p/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6B2F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2025-05-07T03:44:01Z</dcterms:created>
  <dc:creator>DOCTOR</dc:creator>
  <cp:lastModifiedBy>DOCTOR</cp:lastModifiedBy>
  <dcterms:modified xsi:type="dcterms:W3CDTF">2025-05-07T03:45:53Z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FBB659DA687A43839AEA60DDAF5AE0CA_12</vt:lpwstr>
  </property>
</Properties>
</file>