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overflowPunct w:val="0"/>
        <w:spacing w:beforeLines="50" w:afterLines="50" w:line="572" w:lineRule="exact"/>
        <w:jc w:val="center"/>
        <w:rPr>
          <w:rFonts w:hint="default" w:ascii="Times New Roman" w:hAnsi="Times New Roman" w:cs="Times New Roman" w:eastAsiaTheme="minorEastAsia"/>
          <w:kern w:val="0"/>
          <w:sz w:val="28"/>
          <w:szCs w:val="28"/>
        </w:rPr>
      </w:pPr>
      <w:r>
        <w:rPr>
          <w:rFonts w:hint="default" w:ascii="Times New Roman" w:hAnsi="Times New Roman" w:cs="Times New Roman" w:eastAsiaTheme="minorEastAsia"/>
          <w:kern w:val="0"/>
          <w:sz w:val="44"/>
          <w:szCs w:val="44"/>
        </w:rPr>
        <w:t>采购需求表（物资类）</w:t>
      </w:r>
    </w:p>
    <w:tbl>
      <w:tblPr>
        <w:tblStyle w:val="4"/>
        <w:tblW w:w="906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2"/>
        <w:gridCol w:w="1258"/>
        <w:gridCol w:w="600"/>
        <w:gridCol w:w="92"/>
        <w:gridCol w:w="600"/>
        <w:gridCol w:w="3921"/>
        <w:gridCol w:w="591"/>
        <w:gridCol w:w="519"/>
        <w:gridCol w:w="847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" w:hRule="atLeast"/>
        </w:trPr>
        <w:tc>
          <w:tcPr>
            <w:tcW w:w="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color w:val="FF0000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kern w:val="0"/>
                <w:sz w:val="18"/>
                <w:szCs w:val="18"/>
              </w:rPr>
              <w:t>项目编号</w:t>
            </w:r>
          </w:p>
        </w:tc>
        <w:tc>
          <w:tcPr>
            <w:tcW w:w="1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  <w:t>2025-JQ06-W3063</w:t>
            </w:r>
          </w:p>
        </w:tc>
        <w:tc>
          <w:tcPr>
            <w:tcW w:w="692" w:type="dxa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3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  <w:bookmarkStart w:id="0" w:name="_GoBack"/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  <w:t>无创心排量监测仪</w:t>
            </w:r>
            <w:bookmarkEnd w:id="0"/>
          </w:p>
        </w:tc>
        <w:tc>
          <w:tcPr>
            <w:tcW w:w="11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kern w:val="0"/>
                <w:sz w:val="18"/>
                <w:szCs w:val="18"/>
              </w:rPr>
              <w:t>最高限价（万元）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  <w:t>49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" w:hRule="atLeast"/>
        </w:trPr>
        <w:tc>
          <w:tcPr>
            <w:tcW w:w="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b/>
                <w:bCs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kern w:val="0"/>
                <w:sz w:val="18"/>
                <w:szCs w:val="18"/>
              </w:rPr>
              <w:t>序号</w:t>
            </w:r>
          </w:p>
        </w:tc>
        <w:tc>
          <w:tcPr>
            <w:tcW w:w="12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kern w:val="0"/>
                <w:sz w:val="18"/>
                <w:szCs w:val="18"/>
              </w:rPr>
              <w:t>需求名称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kern w:val="0"/>
                <w:sz w:val="18"/>
                <w:szCs w:val="18"/>
              </w:rPr>
              <w:t>参数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b/>
                <w:bCs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kern w:val="0"/>
                <w:sz w:val="18"/>
                <w:szCs w:val="18"/>
              </w:rPr>
              <w:t>性质</w:t>
            </w:r>
          </w:p>
        </w:tc>
        <w:tc>
          <w:tcPr>
            <w:tcW w:w="461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b/>
                <w:bCs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kern w:val="0"/>
                <w:sz w:val="18"/>
                <w:szCs w:val="18"/>
              </w:rPr>
              <w:t>需求具体内容</w:t>
            </w:r>
          </w:p>
        </w:tc>
        <w:tc>
          <w:tcPr>
            <w:tcW w:w="591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b/>
                <w:bCs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kern w:val="0"/>
                <w:sz w:val="18"/>
                <w:szCs w:val="18"/>
              </w:rPr>
              <w:t>是否</w:t>
            </w:r>
            <w:r>
              <w:rPr>
                <w:rFonts w:hint="default" w:ascii="Times New Roman" w:hAnsi="Times New Roman" w:cs="Times New Roman" w:eastAsiaTheme="minorEastAsia"/>
                <w:b/>
                <w:bCs/>
                <w:kern w:val="0"/>
                <w:sz w:val="18"/>
                <w:szCs w:val="18"/>
              </w:rPr>
              <w:br w:type="textWrapping"/>
            </w:r>
            <w:r>
              <w:rPr>
                <w:rFonts w:hint="default" w:ascii="Times New Roman" w:hAnsi="Times New Roman" w:cs="Times New Roman" w:eastAsiaTheme="minorEastAsia"/>
                <w:b/>
                <w:bCs/>
                <w:kern w:val="0"/>
                <w:sz w:val="18"/>
                <w:szCs w:val="18"/>
              </w:rPr>
              <w:t>量化</w:t>
            </w:r>
          </w:p>
        </w:tc>
        <w:tc>
          <w:tcPr>
            <w:tcW w:w="13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b/>
                <w:bCs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kern w:val="0"/>
                <w:sz w:val="18"/>
                <w:szCs w:val="18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9060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kern w:val="0"/>
                <w:sz w:val="18"/>
                <w:szCs w:val="18"/>
              </w:rPr>
              <w:t>技术要求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12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  <w:t>基本要求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  <w:t>★</w:t>
            </w:r>
          </w:p>
        </w:tc>
        <w:tc>
          <w:tcPr>
            <w:tcW w:w="461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  <w:t>基于谐振频率法技术无创心排量监测仪，便携式设计，无线蓝牙传输，可穿戴，支持静息和运动模式监测。</w:t>
            </w:r>
          </w:p>
        </w:tc>
        <w:tc>
          <w:tcPr>
            <w:tcW w:w="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  <w:t>否</w:t>
            </w:r>
          </w:p>
        </w:tc>
        <w:tc>
          <w:tcPr>
            <w:tcW w:w="13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  <w:t>产品彩页、说明书或技术白皮书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12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  <w:t>标准规范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  <w:t>★</w:t>
            </w:r>
          </w:p>
        </w:tc>
        <w:tc>
          <w:tcPr>
            <w:tcW w:w="461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  <w:t>具备NMPA认证</w:t>
            </w:r>
          </w:p>
        </w:tc>
        <w:tc>
          <w:tcPr>
            <w:tcW w:w="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  <w:t>否</w:t>
            </w:r>
          </w:p>
        </w:tc>
        <w:tc>
          <w:tcPr>
            <w:tcW w:w="13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  <w:t>产品注册证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atLeast"/>
        </w:trPr>
        <w:tc>
          <w:tcPr>
            <w:tcW w:w="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12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  <w:t>技术指标1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  <w:t>★</w:t>
            </w:r>
          </w:p>
        </w:tc>
        <w:tc>
          <w:tcPr>
            <w:tcW w:w="461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  <w:t>具有≥1条ECG波形和≥1条RF波形。</w:t>
            </w:r>
          </w:p>
        </w:tc>
        <w:tc>
          <w:tcPr>
            <w:tcW w:w="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  <w:t>否</w:t>
            </w:r>
          </w:p>
        </w:tc>
        <w:tc>
          <w:tcPr>
            <w:tcW w:w="13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  <w:t>产品彩页、说明书或技术白皮书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12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  <w:t>技术指标2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  <w:t>▲</w:t>
            </w:r>
          </w:p>
        </w:tc>
        <w:tc>
          <w:tcPr>
            <w:tcW w:w="461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  <w:t>具有≥4种界面视图显示模式，至少包括：监护界面视图、表格界面视图，柱状图视图、趋势图视图。</w:t>
            </w:r>
          </w:p>
        </w:tc>
        <w:tc>
          <w:tcPr>
            <w:tcW w:w="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  <w:t>否</w:t>
            </w:r>
          </w:p>
        </w:tc>
        <w:tc>
          <w:tcPr>
            <w:tcW w:w="13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  <w:t>产品彩页、说明书或技术白皮书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2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  <w:t>技术指标3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  <w:t>▲</w:t>
            </w:r>
          </w:p>
        </w:tc>
        <w:tc>
          <w:tcPr>
            <w:tcW w:w="461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  <w:t>监护界面视图具有≥2种波形视图和≥8种参数显示，且显示参数可任意切换。</w:t>
            </w:r>
          </w:p>
        </w:tc>
        <w:tc>
          <w:tcPr>
            <w:tcW w:w="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  <w:t>否</w:t>
            </w:r>
          </w:p>
        </w:tc>
        <w:tc>
          <w:tcPr>
            <w:tcW w:w="13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  <w:t>产品彩页、说明书或技术白皮书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</w:trPr>
        <w:tc>
          <w:tcPr>
            <w:tcW w:w="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  <w:t>6</w:t>
            </w:r>
          </w:p>
        </w:tc>
        <w:tc>
          <w:tcPr>
            <w:tcW w:w="12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  <w:t>技术指标4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  <w:t>★</w:t>
            </w:r>
          </w:p>
        </w:tc>
        <w:tc>
          <w:tcPr>
            <w:tcW w:w="461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  <w:t>表格界面视图具有≥20种参数显示，以表格形式实时滚动显示参数结果。</w:t>
            </w:r>
          </w:p>
        </w:tc>
        <w:tc>
          <w:tcPr>
            <w:tcW w:w="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  <w:t>否</w:t>
            </w:r>
          </w:p>
        </w:tc>
        <w:tc>
          <w:tcPr>
            <w:tcW w:w="13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  <w:t>产品彩页、说明书或技术白皮书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atLeast"/>
        </w:trPr>
        <w:tc>
          <w:tcPr>
            <w:tcW w:w="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  <w:t>7</w:t>
            </w:r>
          </w:p>
        </w:tc>
        <w:tc>
          <w:tcPr>
            <w:tcW w:w="12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  <w:t>技术指标5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  <w:t>▲</w:t>
            </w:r>
          </w:p>
        </w:tc>
        <w:tc>
          <w:tcPr>
            <w:tcW w:w="461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  <w:t>柱状图视图具有≥5种参数柱状图，且参数可以任意切换。</w:t>
            </w:r>
          </w:p>
        </w:tc>
        <w:tc>
          <w:tcPr>
            <w:tcW w:w="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  <w:t>否</w:t>
            </w:r>
          </w:p>
        </w:tc>
        <w:tc>
          <w:tcPr>
            <w:tcW w:w="13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  <w:t>产品彩页、说明书或技术白皮书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</w:trPr>
        <w:tc>
          <w:tcPr>
            <w:tcW w:w="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  <w:t>8</w:t>
            </w:r>
          </w:p>
        </w:tc>
        <w:tc>
          <w:tcPr>
            <w:tcW w:w="12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  <w:t>技术指标6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  <w:t>★</w:t>
            </w:r>
          </w:p>
        </w:tc>
        <w:tc>
          <w:tcPr>
            <w:tcW w:w="461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  <w:t>趋势图视图具有≥4种参数趋势图同时显示，且显示参数可任意切换，趋势图支持手动触摸调节任意监测时间。</w:t>
            </w:r>
          </w:p>
        </w:tc>
        <w:tc>
          <w:tcPr>
            <w:tcW w:w="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  <w:t>否</w:t>
            </w:r>
          </w:p>
        </w:tc>
        <w:tc>
          <w:tcPr>
            <w:tcW w:w="13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  <w:t>产品彩页、说明书或技术白皮书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  <w:t>9</w:t>
            </w:r>
          </w:p>
        </w:tc>
        <w:tc>
          <w:tcPr>
            <w:tcW w:w="12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  <w:t>技术指标7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  <w:t>▲</w:t>
            </w:r>
          </w:p>
        </w:tc>
        <w:tc>
          <w:tcPr>
            <w:tcW w:w="461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  <w:t>具有≥23英寸彩色液晶显示器，分辨率≥1920*1080，能够触控操作。</w:t>
            </w:r>
          </w:p>
        </w:tc>
        <w:tc>
          <w:tcPr>
            <w:tcW w:w="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  <w:t>否</w:t>
            </w:r>
          </w:p>
        </w:tc>
        <w:tc>
          <w:tcPr>
            <w:tcW w:w="13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  <w:t>产品彩页、说明书或技术白皮书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2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  <w:t>技术指标8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  <w:t>★</w:t>
            </w:r>
          </w:p>
        </w:tc>
        <w:tc>
          <w:tcPr>
            <w:tcW w:w="461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  <w:t>适用于成人、小儿以及新生儿</w:t>
            </w:r>
          </w:p>
        </w:tc>
        <w:tc>
          <w:tcPr>
            <w:tcW w:w="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  <w:t>否</w:t>
            </w:r>
          </w:p>
        </w:tc>
        <w:tc>
          <w:tcPr>
            <w:tcW w:w="13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  <w:t>提供NMPA证明文件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  <w:t>11</w:t>
            </w:r>
          </w:p>
        </w:tc>
        <w:tc>
          <w:tcPr>
            <w:tcW w:w="12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  <w:t>技术指标9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  <w:t>★</w:t>
            </w:r>
          </w:p>
        </w:tc>
        <w:tc>
          <w:tcPr>
            <w:tcW w:w="461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  <w:t>具有独立的动态测量界面视图，支持PLR（被动抬腿）实验和快速补液实验双模块。</w:t>
            </w:r>
          </w:p>
        </w:tc>
        <w:tc>
          <w:tcPr>
            <w:tcW w:w="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  <w:t>否</w:t>
            </w:r>
          </w:p>
        </w:tc>
        <w:tc>
          <w:tcPr>
            <w:tcW w:w="13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  <w:t>产品彩页、说明书或技术白皮书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  <w:t>12</w:t>
            </w:r>
          </w:p>
        </w:tc>
        <w:tc>
          <w:tcPr>
            <w:tcW w:w="12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  <w:t>技术指标10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  <w:t>▲</w:t>
            </w:r>
          </w:p>
        </w:tc>
        <w:tc>
          <w:tcPr>
            <w:tcW w:w="461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Times New Roman" w:hAnsi="Times New Roman" w:cs="Times New Roman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  <w:t>可以用PLR（被动抬腿）实验来快速测定（约6分钟）液体反应性，具有PLR（被动抬腿）数据自动报告，结果大于10%为有液体反应，小于10%为无液体反应</w:t>
            </w:r>
            <w:r>
              <w:rPr>
                <w:rFonts w:hint="eastAsia" w:cs="Times New Roman" w:eastAsiaTheme="minorEastAsia"/>
                <w:kern w:val="0"/>
                <w:sz w:val="18"/>
                <w:szCs w:val="18"/>
                <w:lang w:eastAsia="zh-CN"/>
              </w:rPr>
              <w:t>。</w:t>
            </w:r>
          </w:p>
        </w:tc>
        <w:tc>
          <w:tcPr>
            <w:tcW w:w="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  <w:t>否</w:t>
            </w:r>
          </w:p>
        </w:tc>
        <w:tc>
          <w:tcPr>
            <w:tcW w:w="13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  <w:t>产品彩页、说明书或技术白皮书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</w:trPr>
        <w:tc>
          <w:tcPr>
            <w:tcW w:w="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  <w:t>13</w:t>
            </w:r>
          </w:p>
        </w:tc>
        <w:tc>
          <w:tcPr>
            <w:tcW w:w="12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  <w:t>技术指标11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  <w:t>▲</w:t>
            </w:r>
          </w:p>
        </w:tc>
        <w:tc>
          <w:tcPr>
            <w:tcW w:w="461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  <w:t>可以快速进行补液实验，用于评估患者的液体反应性。在测试期间，对患者施加液体推注，可自由设置推注液体量（补液量）、持续时间及补液类型。软件记录并实时显示每搏输出量的变更。</w:t>
            </w:r>
          </w:p>
        </w:tc>
        <w:tc>
          <w:tcPr>
            <w:tcW w:w="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  <w:t>否</w:t>
            </w:r>
          </w:p>
        </w:tc>
        <w:tc>
          <w:tcPr>
            <w:tcW w:w="13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  <w:t>产品彩页、说明书或技术白皮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  <w:t>14</w:t>
            </w:r>
          </w:p>
        </w:tc>
        <w:tc>
          <w:tcPr>
            <w:tcW w:w="12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  <w:t>技术指标12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  <w:t>★</w:t>
            </w:r>
          </w:p>
        </w:tc>
        <w:tc>
          <w:tcPr>
            <w:tcW w:w="461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  <w:t>便携式设计，主机重量≤300g，电池供电时间≥7小时（充满时）。</w:t>
            </w:r>
          </w:p>
        </w:tc>
        <w:tc>
          <w:tcPr>
            <w:tcW w:w="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  <w:t>否</w:t>
            </w:r>
          </w:p>
        </w:tc>
        <w:tc>
          <w:tcPr>
            <w:tcW w:w="13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9" w:hRule="atLeast"/>
        </w:trPr>
        <w:tc>
          <w:tcPr>
            <w:tcW w:w="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12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  <w:t>技术指标13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  <w:t>★</w:t>
            </w:r>
          </w:p>
        </w:tc>
        <w:tc>
          <w:tcPr>
            <w:tcW w:w="461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  <w:t>监测模式≥2种，至少包括有线和蓝牙监测模式。</w:t>
            </w:r>
          </w:p>
        </w:tc>
        <w:tc>
          <w:tcPr>
            <w:tcW w:w="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  <w:t>否</w:t>
            </w:r>
          </w:p>
        </w:tc>
        <w:tc>
          <w:tcPr>
            <w:tcW w:w="13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  <w:t>16</w:t>
            </w:r>
          </w:p>
        </w:tc>
        <w:tc>
          <w:tcPr>
            <w:tcW w:w="12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  <w:t>技术指标14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  <w:t>★</w:t>
            </w:r>
          </w:p>
        </w:tc>
        <w:tc>
          <w:tcPr>
            <w:tcW w:w="461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  <w:t>测试数据显示可自定义选择≥5种更新周期，至少包括1秒、4秒、8秒、24秒、60秒。</w:t>
            </w:r>
          </w:p>
        </w:tc>
        <w:tc>
          <w:tcPr>
            <w:tcW w:w="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  <w:t>否</w:t>
            </w:r>
          </w:p>
        </w:tc>
        <w:tc>
          <w:tcPr>
            <w:tcW w:w="13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  <w:t>产品彩页、说明书或技术白皮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  <w:t>17</w:t>
            </w:r>
          </w:p>
        </w:tc>
        <w:tc>
          <w:tcPr>
            <w:tcW w:w="12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  <w:t>技术指标15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  <w:t>▲</w:t>
            </w:r>
          </w:p>
        </w:tc>
        <w:tc>
          <w:tcPr>
            <w:tcW w:w="461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  <w:t>可单独打印LPR（被动抬腿）实验报告和快速补液实验报告。</w:t>
            </w:r>
          </w:p>
        </w:tc>
        <w:tc>
          <w:tcPr>
            <w:tcW w:w="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  <w:t>否</w:t>
            </w:r>
          </w:p>
        </w:tc>
        <w:tc>
          <w:tcPr>
            <w:tcW w:w="13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  <w:t>18</w:t>
            </w:r>
          </w:p>
        </w:tc>
        <w:tc>
          <w:tcPr>
            <w:tcW w:w="12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  <w:t>技术指标16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  <w:t>▲</w:t>
            </w:r>
          </w:p>
        </w:tc>
        <w:tc>
          <w:tcPr>
            <w:tcW w:w="461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  <w:t>主机供电模式≥2种，至少包括USB和锂电池供电模式。</w:t>
            </w:r>
          </w:p>
        </w:tc>
        <w:tc>
          <w:tcPr>
            <w:tcW w:w="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  <w:t>否</w:t>
            </w:r>
          </w:p>
        </w:tc>
        <w:tc>
          <w:tcPr>
            <w:tcW w:w="13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  <w:t>19</w:t>
            </w:r>
          </w:p>
        </w:tc>
        <w:tc>
          <w:tcPr>
            <w:tcW w:w="12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  <w:t>技术指标17</w:t>
            </w:r>
          </w:p>
        </w:tc>
        <w:tc>
          <w:tcPr>
            <w:tcW w:w="6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  <w:t>★</w:t>
            </w:r>
          </w:p>
        </w:tc>
        <w:tc>
          <w:tcPr>
            <w:tcW w:w="45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  <w:t>无需专机专用耗材，补额外增加采购后使用成本。</w:t>
            </w:r>
          </w:p>
        </w:tc>
        <w:tc>
          <w:tcPr>
            <w:tcW w:w="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  <w:t>否</w:t>
            </w:r>
          </w:p>
        </w:tc>
        <w:tc>
          <w:tcPr>
            <w:tcW w:w="13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12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  <w:t>技术指标18</w:t>
            </w:r>
          </w:p>
        </w:tc>
        <w:tc>
          <w:tcPr>
            <w:tcW w:w="6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  <w:t>★</w:t>
            </w:r>
          </w:p>
        </w:tc>
        <w:tc>
          <w:tcPr>
            <w:tcW w:w="45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  <w:t>使用寿命≥8年</w:t>
            </w:r>
          </w:p>
        </w:tc>
        <w:tc>
          <w:tcPr>
            <w:tcW w:w="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  <w:t>否</w:t>
            </w:r>
          </w:p>
        </w:tc>
        <w:tc>
          <w:tcPr>
            <w:tcW w:w="13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Times New Roman" w:hAnsi="Times New Roman" w:cs="Times New Roman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  <w:t>提供设备名牌证明</w:t>
            </w:r>
            <w:r>
              <w:rPr>
                <w:rFonts w:hint="eastAsia" w:cs="Times New Roman" w:eastAsiaTheme="minorEastAsia"/>
                <w:kern w:val="0"/>
                <w:sz w:val="18"/>
                <w:szCs w:val="18"/>
                <w:lang w:eastAsia="zh-CN"/>
              </w:rPr>
              <w:t>或</w:t>
            </w:r>
            <w:r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  <w:t>产品说明书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  <w:t>21</w:t>
            </w:r>
          </w:p>
        </w:tc>
        <w:tc>
          <w:tcPr>
            <w:tcW w:w="12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  <w:t>技术指标19</w:t>
            </w:r>
          </w:p>
        </w:tc>
        <w:tc>
          <w:tcPr>
            <w:tcW w:w="6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  <w:t>▲</w:t>
            </w:r>
          </w:p>
        </w:tc>
        <w:tc>
          <w:tcPr>
            <w:tcW w:w="45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  <w:t>心排量CO、心指数CI、心率HR、每搏量SV、每搏输出量指数SVI、每搏输出变异SVV、射血前期PEP、左心射血时间LVET、胸腔液体含量TFC、外周阻力TPR、总外周阻力指数TPRI。</w:t>
            </w:r>
          </w:p>
        </w:tc>
        <w:tc>
          <w:tcPr>
            <w:tcW w:w="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  <w:t>否</w:t>
            </w:r>
          </w:p>
        </w:tc>
        <w:tc>
          <w:tcPr>
            <w:tcW w:w="13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  <w:t>产品彩页、说明书或技术白皮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  <w:t>22</w:t>
            </w:r>
          </w:p>
        </w:tc>
        <w:tc>
          <w:tcPr>
            <w:tcW w:w="12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  <w:t>技术指标20</w:t>
            </w:r>
          </w:p>
        </w:tc>
        <w:tc>
          <w:tcPr>
            <w:tcW w:w="6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  <w:t>▲</w:t>
            </w:r>
          </w:p>
        </w:tc>
        <w:tc>
          <w:tcPr>
            <w:tcW w:w="45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  <w:t>校正的左心射血时间FTC、射血收缩指数EPCI、血氧饱和度SPO2、氧输送指数DO2I。</w:t>
            </w:r>
          </w:p>
        </w:tc>
        <w:tc>
          <w:tcPr>
            <w:tcW w:w="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  <w:t>否</w:t>
            </w:r>
          </w:p>
        </w:tc>
        <w:tc>
          <w:tcPr>
            <w:tcW w:w="13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  <w:t>产品彩页、说明书或技术白皮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  <w:t>23</w:t>
            </w:r>
          </w:p>
        </w:tc>
        <w:tc>
          <w:tcPr>
            <w:tcW w:w="12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  <w:t>技术指标21</w:t>
            </w:r>
          </w:p>
        </w:tc>
        <w:tc>
          <w:tcPr>
            <w:tcW w:w="6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  <w:t>▲</w:t>
            </w:r>
          </w:p>
        </w:tc>
        <w:tc>
          <w:tcPr>
            <w:tcW w:w="45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  <w:t>变力状态指数ISI、心功率CP、心功率指数CPI。</w:t>
            </w:r>
          </w:p>
        </w:tc>
        <w:tc>
          <w:tcPr>
            <w:tcW w:w="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  <w:t>否</w:t>
            </w:r>
          </w:p>
        </w:tc>
        <w:tc>
          <w:tcPr>
            <w:tcW w:w="13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  <w:t>产品彩页、说明书或技术白皮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  <w:t>24</w:t>
            </w:r>
          </w:p>
        </w:tc>
        <w:tc>
          <w:tcPr>
            <w:tcW w:w="12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  <w:t>技术指标22</w:t>
            </w:r>
          </w:p>
        </w:tc>
        <w:tc>
          <w:tcPr>
            <w:tcW w:w="6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  <w:t>★</w:t>
            </w:r>
          </w:p>
        </w:tc>
        <w:tc>
          <w:tcPr>
            <w:tcW w:w="45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  <w:t>信号质量指数SQI</w:t>
            </w:r>
          </w:p>
        </w:tc>
        <w:tc>
          <w:tcPr>
            <w:tcW w:w="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  <w:t>否</w:t>
            </w:r>
          </w:p>
        </w:tc>
        <w:tc>
          <w:tcPr>
            <w:tcW w:w="13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  <w:t>产品彩页、说明书或技术白皮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  <w:t>25</w:t>
            </w:r>
          </w:p>
        </w:tc>
        <w:tc>
          <w:tcPr>
            <w:tcW w:w="12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  <w:t>技术指标23</w:t>
            </w:r>
          </w:p>
        </w:tc>
        <w:tc>
          <w:tcPr>
            <w:tcW w:w="6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  <w:t>★</w:t>
            </w:r>
          </w:p>
        </w:tc>
        <w:tc>
          <w:tcPr>
            <w:tcW w:w="45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  <w:t>肺毛细血管楔压SQI</w:t>
            </w:r>
          </w:p>
        </w:tc>
        <w:tc>
          <w:tcPr>
            <w:tcW w:w="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  <w:t>否</w:t>
            </w:r>
          </w:p>
        </w:tc>
        <w:tc>
          <w:tcPr>
            <w:tcW w:w="13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  <w:t>产品彩页、说明书或技术白皮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  <w:t>26</w:t>
            </w:r>
          </w:p>
        </w:tc>
        <w:tc>
          <w:tcPr>
            <w:tcW w:w="12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  <w:t>技术指标24</w:t>
            </w:r>
          </w:p>
        </w:tc>
        <w:tc>
          <w:tcPr>
            <w:tcW w:w="6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  <w:t>★</w:t>
            </w:r>
          </w:p>
        </w:tc>
        <w:tc>
          <w:tcPr>
            <w:tcW w:w="45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  <w:t>压力指数Stress  Index</w:t>
            </w:r>
          </w:p>
        </w:tc>
        <w:tc>
          <w:tcPr>
            <w:tcW w:w="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  <w:t>否</w:t>
            </w:r>
          </w:p>
        </w:tc>
        <w:tc>
          <w:tcPr>
            <w:tcW w:w="13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  <w:t>产品彩页、说明书或技术白皮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  <w:t>27</w:t>
            </w:r>
          </w:p>
        </w:tc>
        <w:tc>
          <w:tcPr>
            <w:tcW w:w="12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  <w:t>配置要求1</w:t>
            </w:r>
          </w:p>
        </w:tc>
        <w:tc>
          <w:tcPr>
            <w:tcW w:w="6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  <w:t>★</w:t>
            </w:r>
          </w:p>
        </w:tc>
        <w:tc>
          <w:tcPr>
            <w:tcW w:w="45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  <w:t>无创心排量监测仪主机</w:t>
            </w:r>
          </w:p>
        </w:tc>
        <w:tc>
          <w:tcPr>
            <w:tcW w:w="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  <w:t>否</w:t>
            </w:r>
          </w:p>
        </w:tc>
        <w:tc>
          <w:tcPr>
            <w:tcW w:w="13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  <w:t>28</w:t>
            </w:r>
          </w:p>
        </w:tc>
        <w:tc>
          <w:tcPr>
            <w:tcW w:w="12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  <w:t>配置要求2</w:t>
            </w:r>
          </w:p>
        </w:tc>
        <w:tc>
          <w:tcPr>
            <w:tcW w:w="6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  <w:t>★</w:t>
            </w:r>
          </w:p>
        </w:tc>
        <w:tc>
          <w:tcPr>
            <w:tcW w:w="45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  <w:t>品牌电脑一体机</w:t>
            </w:r>
          </w:p>
        </w:tc>
        <w:tc>
          <w:tcPr>
            <w:tcW w:w="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  <w:t>否</w:t>
            </w:r>
          </w:p>
        </w:tc>
        <w:tc>
          <w:tcPr>
            <w:tcW w:w="13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  <w:t>29</w:t>
            </w:r>
          </w:p>
        </w:tc>
        <w:tc>
          <w:tcPr>
            <w:tcW w:w="12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  <w:t>配置要求3</w:t>
            </w:r>
          </w:p>
        </w:tc>
        <w:tc>
          <w:tcPr>
            <w:tcW w:w="6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  <w:t>▲</w:t>
            </w:r>
          </w:p>
        </w:tc>
        <w:tc>
          <w:tcPr>
            <w:tcW w:w="45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  <w:t>专用台车</w:t>
            </w:r>
          </w:p>
        </w:tc>
        <w:tc>
          <w:tcPr>
            <w:tcW w:w="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  <w:t>否</w:t>
            </w:r>
          </w:p>
        </w:tc>
        <w:tc>
          <w:tcPr>
            <w:tcW w:w="13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  <w:t>30</w:t>
            </w:r>
          </w:p>
        </w:tc>
        <w:tc>
          <w:tcPr>
            <w:tcW w:w="12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  <w:t>配置要求4</w:t>
            </w:r>
          </w:p>
        </w:tc>
        <w:tc>
          <w:tcPr>
            <w:tcW w:w="6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  <w:t>▲</w:t>
            </w:r>
          </w:p>
        </w:tc>
        <w:tc>
          <w:tcPr>
            <w:tcW w:w="45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  <w:t>打印机</w:t>
            </w:r>
          </w:p>
        </w:tc>
        <w:tc>
          <w:tcPr>
            <w:tcW w:w="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  <w:t>否</w:t>
            </w:r>
          </w:p>
        </w:tc>
        <w:tc>
          <w:tcPr>
            <w:tcW w:w="13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  <w:t>31</w:t>
            </w:r>
          </w:p>
        </w:tc>
        <w:tc>
          <w:tcPr>
            <w:tcW w:w="12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  <w:t>配置要求5</w:t>
            </w:r>
          </w:p>
        </w:tc>
        <w:tc>
          <w:tcPr>
            <w:tcW w:w="6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  <w:t>▲</w:t>
            </w:r>
          </w:p>
        </w:tc>
        <w:tc>
          <w:tcPr>
            <w:tcW w:w="45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  <w:t>四芯导联线</w:t>
            </w:r>
          </w:p>
        </w:tc>
        <w:tc>
          <w:tcPr>
            <w:tcW w:w="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  <w:t>否</w:t>
            </w:r>
          </w:p>
        </w:tc>
        <w:tc>
          <w:tcPr>
            <w:tcW w:w="13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" w:hRule="atLeast"/>
        </w:trPr>
        <w:tc>
          <w:tcPr>
            <w:tcW w:w="9060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kern w:val="0"/>
                <w:sz w:val="18"/>
                <w:szCs w:val="18"/>
              </w:rPr>
              <w:t>经济要求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  <w:t>1</w:t>
            </w:r>
          </w:p>
        </w:tc>
        <w:tc>
          <w:tcPr>
            <w:tcW w:w="12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  <w:t>交货时间、交货地点</w:t>
            </w:r>
          </w:p>
        </w:tc>
        <w:tc>
          <w:tcPr>
            <w:tcW w:w="6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  <w:t>★</w:t>
            </w:r>
          </w:p>
        </w:tc>
        <w:tc>
          <w:tcPr>
            <w:tcW w:w="45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  <w:t>合同签订后1月内交付，交付地点由甲方指定。</w:t>
            </w:r>
          </w:p>
        </w:tc>
        <w:tc>
          <w:tcPr>
            <w:tcW w:w="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  <w:t>否</w:t>
            </w:r>
          </w:p>
        </w:tc>
        <w:tc>
          <w:tcPr>
            <w:tcW w:w="13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  <w:t>2</w:t>
            </w:r>
          </w:p>
        </w:tc>
        <w:tc>
          <w:tcPr>
            <w:tcW w:w="12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  <w:t>付款及结算方式</w:t>
            </w:r>
          </w:p>
        </w:tc>
        <w:tc>
          <w:tcPr>
            <w:tcW w:w="6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  <w:t>★</w:t>
            </w:r>
          </w:p>
        </w:tc>
        <w:tc>
          <w:tcPr>
            <w:tcW w:w="45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  <w:t>物资到货（服务完成）验收后付95%，</w:t>
            </w:r>
          </w:p>
        </w:tc>
        <w:tc>
          <w:tcPr>
            <w:tcW w:w="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  <w:t>否</w:t>
            </w:r>
          </w:p>
        </w:tc>
        <w:tc>
          <w:tcPr>
            <w:tcW w:w="13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" w:hRule="atLeast"/>
        </w:trPr>
        <w:tc>
          <w:tcPr>
            <w:tcW w:w="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12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  <w:t>履约保证金/质量保证金</w:t>
            </w:r>
          </w:p>
        </w:tc>
        <w:tc>
          <w:tcPr>
            <w:tcW w:w="6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  <w:t>★</w:t>
            </w:r>
          </w:p>
        </w:tc>
        <w:tc>
          <w:tcPr>
            <w:tcW w:w="45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  <w:t>验收合格后满一年无质量问题支付剩余5%</w:t>
            </w:r>
          </w:p>
        </w:tc>
        <w:tc>
          <w:tcPr>
            <w:tcW w:w="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  <w:t>否</w:t>
            </w:r>
          </w:p>
        </w:tc>
        <w:tc>
          <w:tcPr>
            <w:tcW w:w="13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  <w:t>4</w:t>
            </w:r>
          </w:p>
        </w:tc>
        <w:tc>
          <w:tcPr>
            <w:tcW w:w="12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  <w:t>售后服务1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  <w:t>（质保）</w:t>
            </w:r>
          </w:p>
        </w:tc>
        <w:tc>
          <w:tcPr>
            <w:tcW w:w="6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  <w:t>★</w:t>
            </w:r>
          </w:p>
        </w:tc>
        <w:tc>
          <w:tcPr>
            <w:tcW w:w="45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  <w:t>保修年限不低于三年，全年故障停机时间不高于5%（按365日/年计算)</w:t>
            </w:r>
            <w:r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  <w:tab/>
            </w:r>
            <w:r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  <w:tab/>
            </w:r>
            <w:r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  <w:tab/>
            </w:r>
          </w:p>
        </w:tc>
        <w:tc>
          <w:tcPr>
            <w:tcW w:w="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  <w:t>是</w:t>
            </w:r>
          </w:p>
        </w:tc>
        <w:tc>
          <w:tcPr>
            <w:tcW w:w="13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  <w:t>原厂授权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  <w:t>（企业承诺）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  <w:t>6</w:t>
            </w:r>
          </w:p>
        </w:tc>
        <w:tc>
          <w:tcPr>
            <w:tcW w:w="12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  <w:t>售后服务2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  <w:t>（质保）</w:t>
            </w:r>
          </w:p>
        </w:tc>
        <w:tc>
          <w:tcPr>
            <w:tcW w:w="6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  <w:t>★</w:t>
            </w:r>
          </w:p>
        </w:tc>
        <w:tc>
          <w:tcPr>
            <w:tcW w:w="45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  <w:t>保修期内免费提供定期维护保养服务，免费升级和维护软件，免费提供使用培训</w:t>
            </w:r>
          </w:p>
        </w:tc>
        <w:tc>
          <w:tcPr>
            <w:tcW w:w="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  <w:t>否</w:t>
            </w:r>
          </w:p>
        </w:tc>
        <w:tc>
          <w:tcPr>
            <w:tcW w:w="13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</w:trPr>
        <w:tc>
          <w:tcPr>
            <w:tcW w:w="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  <w:t>7</w:t>
            </w:r>
          </w:p>
        </w:tc>
        <w:tc>
          <w:tcPr>
            <w:tcW w:w="12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  <w:t>售后服务3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  <w:t>（质保）</w:t>
            </w:r>
          </w:p>
        </w:tc>
        <w:tc>
          <w:tcPr>
            <w:tcW w:w="6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  <w:t>★</w:t>
            </w:r>
          </w:p>
        </w:tc>
        <w:tc>
          <w:tcPr>
            <w:tcW w:w="45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  <w:t>维修响应时间≤4小时，京内维修到达现场时间≤12小时，京外维修到达现场时间≤48小时</w:t>
            </w:r>
          </w:p>
        </w:tc>
        <w:tc>
          <w:tcPr>
            <w:tcW w:w="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  <w:t>否</w:t>
            </w:r>
          </w:p>
        </w:tc>
        <w:tc>
          <w:tcPr>
            <w:tcW w:w="13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</w:trPr>
        <w:tc>
          <w:tcPr>
            <w:tcW w:w="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  <w:t>8</w:t>
            </w:r>
          </w:p>
        </w:tc>
        <w:tc>
          <w:tcPr>
            <w:tcW w:w="12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  <w:t>备品备件要求（零配件）</w:t>
            </w:r>
          </w:p>
        </w:tc>
        <w:tc>
          <w:tcPr>
            <w:tcW w:w="6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  <w:t>★</w:t>
            </w:r>
          </w:p>
        </w:tc>
        <w:tc>
          <w:tcPr>
            <w:tcW w:w="45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  <w:t>由供应商承诺项目使用寿命周期内保证零配件供应。</w:t>
            </w:r>
            <w:r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  <w:tab/>
            </w:r>
          </w:p>
        </w:tc>
        <w:tc>
          <w:tcPr>
            <w:tcW w:w="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  <w:t>否</w:t>
            </w:r>
          </w:p>
        </w:tc>
        <w:tc>
          <w:tcPr>
            <w:tcW w:w="13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2" w:hRule="atLeast"/>
        </w:trPr>
        <w:tc>
          <w:tcPr>
            <w:tcW w:w="9060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注：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1.★指标为必须响应指标，任意一项不满足要求即做废标处理；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default" w:ascii="Times New Roman" w:hAnsi="Times New Roman" w:eastAsia="宋体" w:cs="Times New Roman"/>
                <w:sz w:val="18"/>
                <w:szCs w:val="18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  <w:t>2.</w:t>
            </w: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★及▲标识的指标，需逐条按备注要求提供证明材料，未明确的可由企业提供承诺</w:t>
            </w: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eastAsia="zh-CN"/>
              </w:rPr>
              <w:t>。本表所要求的“技术白皮书”为：国产产品需加盖生产厂家及投标人公章；进口产品需加盖国内总代理及投标人公章。；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Lines="20" w:line="300" w:lineRule="exact"/>
              <w:jc w:val="left"/>
              <w:textAlignment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  <w:t>3.</w:t>
            </w:r>
            <w:r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</w:rPr>
              <w:t>▲标识的指标和“无标识”指标负偏离≥6项，投标企业技术分值为0分</w:t>
            </w: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  <w:t>。</w:t>
            </w:r>
          </w:p>
        </w:tc>
      </w:tr>
    </w:tbl>
    <w:p>
      <w:pPr>
        <w:rPr>
          <w:rFonts w:hint="default" w:ascii="Times New Roman" w:hAnsi="Times New Roman" w:cs="Times New Roman" w:eastAsiaTheme="minor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小标宋简体">
    <w:altName w:val="宋体-方正超大字符集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宋体-方正超大字符集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0E37F9"/>
    <w:rsid w:val="1B6A4503"/>
    <w:rsid w:val="2072459C"/>
    <w:rsid w:val="2698782E"/>
    <w:rsid w:val="2A106CD2"/>
    <w:rsid w:val="425C1FEC"/>
    <w:rsid w:val="42DA30A2"/>
    <w:rsid w:val="4747375F"/>
    <w:rsid w:val="529E2A99"/>
    <w:rsid w:val="53376638"/>
    <w:rsid w:val="55540AD2"/>
    <w:rsid w:val="6B0E3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spacing w:after="120"/>
    </w:p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6">
    <w:name w:val="Default"/>
    <w:unhideWhenUsed/>
    <w:qFormat/>
    <w:uiPriority w:val="0"/>
    <w:pPr>
      <w:widowControl w:val="0"/>
      <w:autoSpaceDE w:val="0"/>
      <w:autoSpaceDN w:val="0"/>
    </w:pPr>
    <w:rPr>
      <w:rFonts w:hint="eastAsia" w:ascii="黑体" w:hAnsi="黑体" w:eastAsia="黑体" w:cs="Times New Roman"/>
      <w:color w:val="000000"/>
      <w:sz w:val="24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潮州市直及下属单位</Company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2025-05-22T07:30:00Z</dcterms:created>
  <dc:creator>DOCTOR</dc:creator>
  <cp:lastModifiedBy>DOCTOR</cp:lastModifiedBy>
  <dcterms:modified xsi:type="dcterms:W3CDTF">2025-05-22T07:57:51Z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