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12768491"/>
      <w:bookmarkStart w:id="1" w:name="_Toc132186973"/>
      <w:bookmarkStart w:id="2" w:name="_Toc21632"/>
      <w:bookmarkStart w:id="3" w:name="_Toc128154366"/>
      <w:bookmarkStart w:id="4" w:name="_Toc30564"/>
      <w:bookmarkStart w:id="5" w:name="_Toc32050"/>
      <w:bookmarkStart w:id="6" w:name="_Toc132191257"/>
      <w:bookmarkStart w:id="7" w:name="_Toc9692"/>
      <w:bookmarkStart w:id="8" w:name="_Toc28545"/>
      <w:bookmarkStart w:id="9" w:name="_Toc130888005"/>
      <w:bookmarkStart w:id="10" w:name="_Toc130661176"/>
      <w:bookmarkStart w:id="11" w:name="_Toc128470293"/>
      <w:bookmarkStart w:id="12" w:name="_Toc112317781"/>
      <w:bookmarkStart w:id="13" w:name="_Toc22553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130887499"/>
      <w:bookmarkStart w:id="15" w:name="_Toc132190633"/>
      <w:bookmarkStart w:id="16" w:name="_Toc128150777"/>
      <w:bookmarkStart w:id="17" w:name="_Toc128150133"/>
      <w:bookmarkStart w:id="18" w:name="_Toc189"/>
      <w:bookmarkStart w:id="19" w:name="_Toc128397969"/>
      <w:bookmarkStart w:id="20" w:name="_Toc25703"/>
      <w:bookmarkStart w:id="21" w:name="_Toc127820563"/>
      <w:bookmarkStart w:id="22" w:name="_Toc22387"/>
      <w:bookmarkStart w:id="23" w:name="_Toc128151026"/>
      <w:bookmarkStart w:id="24" w:name="_Toc30945"/>
      <w:bookmarkStart w:id="25" w:name="_Toc5238"/>
      <w:bookmarkStart w:id="26" w:name="_Toc31595"/>
      <w:bookmarkStart w:id="27" w:name="_Toc21401"/>
      <w:bookmarkStart w:id="28" w:name="_Toc532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p>
      <w:pPr>
        <w:pStyle w:val="7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（一）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  <w:t>经济要求</w:t>
      </w:r>
    </w:p>
    <w:tbl>
      <w:tblPr>
        <w:tblStyle w:val="5"/>
        <w:tblW w:w="92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454"/>
        <w:gridCol w:w="5609"/>
        <w:gridCol w:w="16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合同签订后3个月内交货，交付地点由甲方指定。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保修年限不低于2年，全年故障停机时间不高于5%（按365日/年计算)。故障停机每超出1天，按两倍时间延保。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提供不少于3人次、1天的培训。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费维护期从项目验收之日起；对于各类故障必须提供7*24立即响应服务，在2小时内提出解决方案并做出明确安排，若远程不能解决问题，须在8小时内派人到现场上门服务，24小时以内排除故障，并分析故障原因，提出书面故障分析报告及防范措施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rFonts w:hint="eastAsia" w:eastAsia="宋体"/>
          <w:bCs/>
          <w:color w:val="auto"/>
          <w:sz w:val="28"/>
          <w:szCs w:val="28"/>
          <w:highlight w:val="none"/>
          <w:lang w:eastAsia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color w:val="auto"/>
          <w:sz w:val="28"/>
          <w:szCs w:val="28"/>
          <w:highlight w:val="none"/>
        </w:rPr>
        <w:t>知识产权</w:t>
      </w:r>
      <w:r>
        <w:rPr>
          <w:rFonts w:hAnsi="宋体"/>
          <w:bCs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</w:t>
      </w: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件等材料。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/>
          <w:color w:val="auto"/>
          <w:highlight w:val="none"/>
        </w:rPr>
      </w:pPr>
      <w:bookmarkStart w:id="29" w:name="_Toc127820564"/>
      <w:bookmarkStart w:id="30" w:name="_Toc130887500"/>
      <w:bookmarkStart w:id="31" w:name="_Toc13097"/>
      <w:bookmarkStart w:id="32" w:name="_Toc128150134"/>
      <w:bookmarkStart w:id="33" w:name="_Toc128150778"/>
      <w:bookmarkStart w:id="34" w:name="_Toc132190634"/>
      <w:bookmarkStart w:id="35" w:name="_Toc1694"/>
      <w:bookmarkStart w:id="36" w:name="_Toc128151027"/>
      <w:bookmarkStart w:id="37" w:name="_Toc128397970"/>
      <w:r>
        <w:rPr>
          <w:rFonts w:hint="eastAsia"/>
          <w:color w:val="auto"/>
          <w:highlight w:val="none"/>
        </w:rPr>
        <w:br w:type="page"/>
      </w: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38" w:name="_Toc20762"/>
      <w:bookmarkStart w:id="39" w:name="_Toc32285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5"/>
        <w:tblW w:w="93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1208"/>
        <w:gridCol w:w="828"/>
        <w:gridCol w:w="299"/>
        <w:gridCol w:w="4360"/>
        <w:gridCol w:w="805"/>
        <w:gridCol w:w="140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3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能满足对患者呼气末CO</w:t>
            </w:r>
            <w:r>
              <w:rPr>
                <w:rStyle w:val="9"/>
                <w:lang w:val="en-US" w:eastAsia="zh-CN" w:bidi="ar"/>
              </w:rPr>
              <w:t>2</w:t>
            </w:r>
            <w:r>
              <w:rPr>
                <w:rStyle w:val="8"/>
                <w:lang w:val="en-US" w:eastAsia="zh-CN" w:bidi="ar"/>
              </w:rPr>
              <w:t>浓度(EtCO</w:t>
            </w:r>
            <w:r>
              <w:rPr>
                <w:rStyle w:val="9"/>
                <w:lang w:val="en-US" w:eastAsia="zh-CN" w:bidi="ar"/>
              </w:rPr>
              <w:t>2</w:t>
            </w:r>
            <w:r>
              <w:rPr>
                <w:rStyle w:val="8"/>
                <w:lang w:val="en-US" w:eastAsia="zh-CN" w:bidi="ar"/>
              </w:rPr>
              <w:t>)及波形图、呼吸率（RR）的连续监测。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具备CE或FDA认证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呼吸末CO2浓度测量范围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≥（0-99）mmHg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技术白皮书、说明书、彩页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呼吸频率测量范围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≥（5～100）bpm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技术白皮书、说明书、彩页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可选配蓝牙打印机，打印结果在办公室自然光线条件下保留清晰年限大于8年，其打印的二氧化碳反应曲线可用于收费凭证。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技术说明书、彩页、图片说明、字迹年限评估报告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主机可存</w:t>
            </w:r>
            <w:r>
              <w:rPr>
                <w:rStyle w:val="8"/>
                <w:lang w:val="en-US" w:eastAsia="zh-CN" w:bidi="ar"/>
              </w:rPr>
              <w:t>储≥</w:t>
            </w:r>
            <w:r>
              <w:rPr>
                <w:rStyle w:val="10"/>
                <w:lang w:val="en-US" w:eastAsia="zh-CN" w:bidi="ar"/>
              </w:rPr>
              <w:t>500个病人的ID号及对应的检查数据。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技术说明书、彩页、图片说明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主机可通过蓝牙连接监测仪，能够实时查看监测结果。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图片说明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无需校零、大气压自动补偿、不限场景，高原或者直升机皆可准确测量。精选干扰气体补偿,肺压及体温补偿，达到更高精度要求。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可充电的锂电池，充满电后可连续工作≥8小时。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趋势图关机不丢失，</w:t>
            </w:r>
            <w:r>
              <w:rPr>
                <w:rStyle w:val="8"/>
                <w:lang w:val="en-US" w:eastAsia="zh-CN" w:bidi="ar"/>
              </w:rPr>
              <w:t>趋势图长度≥24小时，并可随时上传至PC数据库。PC数据库软件管理，打印测试报告，趋势数据，病例，医嘱等。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主机配置≤3.5英寸彩屏，能监测呼末二氧化碳浓度及波形、呼吸率（RR）。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二氧化碳单位%，mmHg可选。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具备声光超限报警和窒息报警。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多种方案血氧监测系统,成人、儿童、新生儿均可使用。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整机功耗：≤5VA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配置要求1（每台）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二氧化碳监测仪主机*1、二氧化碳模块*1、电源适配器*1、成人气路适配器*2、儿童气路适配器*1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93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▲标识的指标负偏离≥2项，投标企业技术分值为0分；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▲标识的指标和“无标识”指标负偏离≥6项，投标企业技术分值为0分；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★和▲标识的指标均需投标企业提供证明材料、本表所要求的“技术白皮书”为：国产产品需加盖生产厂家及报价供应商公章；进口产品需加盖国内总代理及报价供应商公章。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49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8">
    <w:name w:val="font4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01"/>
    <w:basedOn w:val="6"/>
    <w:qFormat/>
    <w:uiPriority w:val="0"/>
    <w:rPr>
      <w:rFonts w:hint="eastAsia" w:ascii="黑体" w:hAnsi="宋体" w:eastAsia="黑体" w:cs="黑体"/>
      <w:color w:val="000000"/>
      <w:sz w:val="12"/>
      <w:szCs w:val="12"/>
      <w:u w:val="none"/>
    </w:rPr>
  </w:style>
  <w:style w:type="character" w:customStyle="1" w:styleId="10">
    <w:name w:val="font2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2025-05-12T08:19:22Z</dcterms:created>
  <dc:creator>admin</dc:creator>
  <cp:lastModifiedBy>admin</cp:lastModifiedBy>
  <dcterms:modified xsi:type="dcterms:W3CDTF">2025-05-12T08:19:25Z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