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32186973"/>
      <w:bookmarkStart w:id="1" w:name="_Toc128154366"/>
      <w:bookmarkStart w:id="2" w:name="_Toc30564"/>
      <w:bookmarkStart w:id="3" w:name="_Toc132191257"/>
      <w:bookmarkStart w:id="4" w:name="_Toc128470293"/>
      <w:bookmarkStart w:id="5" w:name="_Toc112317781"/>
      <w:bookmarkStart w:id="6" w:name="_Toc32050"/>
      <w:bookmarkStart w:id="7" w:name="_Toc9692"/>
      <w:bookmarkStart w:id="8" w:name="_Toc112768491"/>
      <w:bookmarkStart w:id="9" w:name="_Toc130888005"/>
      <w:bookmarkStart w:id="10" w:name="_Toc21632"/>
      <w:bookmarkStart w:id="11" w:name="_Toc28545"/>
      <w:bookmarkStart w:id="12" w:name="_Toc130661176"/>
      <w:bookmarkStart w:id="13" w:name="_Toc130888007"/>
      <w:bookmarkStart w:id="14" w:name="_Toc128470295"/>
      <w:bookmarkStart w:id="15" w:name="_Toc132186975"/>
      <w:bookmarkStart w:id="16" w:name="_Toc132191259"/>
      <w:bookmarkStart w:id="17" w:name="_Toc128154368"/>
      <w:r>
        <w:rPr>
          <w:rFonts w:hint="eastAsia"/>
          <w:b w:val="0"/>
          <w:szCs w:val="44"/>
          <w:highlight w:val="none"/>
          <w:lang w:val="zh-CN"/>
        </w:rPr>
        <w:t>第六章</w:t>
      </w:r>
      <w:r>
        <w:rPr>
          <w:rFonts w:hint="eastAsia"/>
          <w:b w:val="0"/>
          <w:szCs w:val="44"/>
          <w:highlight w:val="none"/>
          <w:lang w:val="en-US" w:eastAsia="zh-CN"/>
        </w:rPr>
        <w:t xml:space="preserve"> </w:t>
      </w:r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bookmarkStart w:id="18" w:name="_Toc127820563"/>
      <w:bookmarkStart w:id="19" w:name="_Toc22387"/>
      <w:bookmarkStart w:id="20" w:name="_Toc128151026"/>
      <w:bookmarkStart w:id="21" w:name="_Toc128150133"/>
      <w:bookmarkStart w:id="22" w:name="_Toc128397969"/>
      <w:bookmarkStart w:id="23" w:name="_Toc132190633"/>
      <w:bookmarkStart w:id="24" w:name="_Toc30945"/>
      <w:bookmarkStart w:id="25" w:name="_Toc130887499"/>
      <w:bookmarkStart w:id="26" w:name="_Toc189"/>
      <w:bookmarkStart w:id="27" w:name="_Toc128150777"/>
      <w:bookmarkStart w:id="28" w:name="_Toc25703"/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一、商务要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求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>
        <w:rPr>
          <w:rFonts w:hint="eastAsia"/>
          <w:color w:val="auto"/>
          <w:highlight w:val="none"/>
          <w:lang w:val="en-US" w:eastAsia="zh-CN"/>
        </w:rPr>
        <w:t>（均为实质性响应条款，不接受负偏离）</w:t>
      </w:r>
    </w:p>
    <w:tbl>
      <w:tblPr>
        <w:tblStyle w:val="8"/>
        <w:tblpPr w:leftFromText="180" w:rightFromText="180" w:vertAnchor="text" w:horzAnchor="page" w:tblpX="1267" w:tblpY="84"/>
        <w:tblOverlap w:val="never"/>
        <w:tblW w:w="98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5"/>
        <w:gridCol w:w="1407"/>
        <w:gridCol w:w="843"/>
        <w:gridCol w:w="5385"/>
        <w:gridCol w:w="630"/>
        <w:gridCol w:w="11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8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保修期内免费提供定期维护保养服务，免费升级和维护软件，免费提供使用培训。故障停机时间每超出1天，按照两倍时间延保。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提供不少于5人次、2天的工程师维修培训。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维修响应时间≤1小时，维修到达现场时间≤4小时。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10"/>
        <w:spacing w:line="560" w:lineRule="exact"/>
        <w:ind w:left="0" w:leftChars="0" w:firstLine="560" w:firstLineChars="200"/>
        <w:rPr>
          <w:rFonts w:hint="eastAsia" w:ascii="宋体" w:hAnsi="宋体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en-US" w:eastAsia="zh-CN"/>
        </w:rPr>
        <w:t>★10知识产权:报价供应商应当保证采购单位在使用该物资或其任何一部分时，不受第三方侵权指控。同时，报价供应商不得向第三方泄露采购机构提供的技术文件等材料。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</w:r>
    </w:p>
    <w:p>
      <w:pPr>
        <w:pStyle w:val="10"/>
        <w:spacing w:line="560" w:lineRule="atLeast"/>
        <w:ind w:firstLine="560"/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hAnsi="宋体"/>
          <w:bCs/>
          <w:color w:val="auto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  <w:t>其他</w:t>
      </w:r>
    </w:p>
    <w:p>
      <w:pPr>
        <w:pStyle w:val="5"/>
        <w:spacing w:after="0" w:line="560" w:lineRule="exact"/>
        <w:ind w:firstLine="560" w:firstLineChars="200"/>
        <w:rPr>
          <w:rFonts w:hint="eastAsia" w:ascii="宋体" w:hAnsi="宋体" w:eastAsia="宋体" w:cs="Times New Roman"/>
          <w:bCs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cs="Times New Roman"/>
          <w:bCs/>
          <w:color w:val="auto"/>
          <w:kern w:val="2"/>
          <w:sz w:val="28"/>
          <w:szCs w:val="28"/>
          <w:highlight w:val="none"/>
          <w:lang w:val="zh-CN" w:eastAsia="zh-CN" w:bidi="ar-SA"/>
        </w:rPr>
        <w:t>预成交</w:t>
      </w:r>
      <w:r>
        <w:rPr>
          <w:rFonts w:hint="eastAsia" w:ascii="宋体" w:hAnsi="宋体" w:eastAsia="宋体" w:cs="Times New Roman"/>
          <w:bCs/>
          <w:color w:val="auto"/>
          <w:kern w:val="2"/>
          <w:sz w:val="28"/>
          <w:szCs w:val="28"/>
          <w:highlight w:val="none"/>
          <w:lang w:val="zh-CN" w:eastAsia="zh-CN" w:bidi="ar-SA"/>
        </w:rPr>
        <w:t>企业在领取成交通知书前，设备最终谈判报价按附件</w:t>
      </w:r>
      <w:r>
        <w:rPr>
          <w:rFonts w:hint="eastAsia" w:ascii="宋体" w:hAnsi="宋体" w:eastAsia="宋体" w:cs="Times New Roman"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1、2、3内容重新组价并签字盖章。</w:t>
      </w:r>
    </w:p>
    <w:p>
      <w:pPr>
        <w:pStyle w:val="5"/>
        <w:spacing w:after="0" w:line="560" w:lineRule="exact"/>
        <w:ind w:firstLine="560" w:firstLineChars="200"/>
        <w:rPr>
          <w:rFonts w:hint="eastAsia" w:ascii="宋体" w:hAnsi="宋体" w:eastAsia="宋体" w:cs="Times New Roman"/>
          <w:bCs/>
          <w:color w:val="auto"/>
          <w:kern w:val="2"/>
          <w:sz w:val="28"/>
          <w:szCs w:val="28"/>
          <w:highlight w:val="none"/>
          <w:lang w:val="zh-CN" w:eastAsia="zh-CN" w:bidi="ar-SA"/>
        </w:rPr>
      </w:pPr>
    </w:p>
    <w:p>
      <w:pPr>
        <w:pStyle w:val="5"/>
        <w:spacing w:after="0" w:line="560" w:lineRule="exact"/>
        <w:ind w:firstLine="560" w:firstLineChars="200"/>
        <w:rPr>
          <w:rFonts w:hint="eastAsia" w:ascii="宋体" w:hAnsi="宋体" w:eastAsia="宋体" w:cs="Times New Roman"/>
          <w:bCs/>
          <w:color w:val="auto"/>
          <w:kern w:val="2"/>
          <w:sz w:val="28"/>
          <w:szCs w:val="28"/>
          <w:highlight w:val="none"/>
          <w:lang w:val="zh-CN" w:eastAsia="zh-CN" w:bidi="ar-SA"/>
        </w:rPr>
      </w:pPr>
    </w:p>
    <w:p>
      <w:pPr>
        <w:pStyle w:val="5"/>
        <w:spacing w:after="0" w:line="560" w:lineRule="exact"/>
        <w:ind w:firstLine="560" w:firstLineChars="200"/>
        <w:rPr>
          <w:rFonts w:hint="eastAsia" w:ascii="宋体" w:hAnsi="宋体" w:eastAsia="宋体" w:cs="Times New Roman"/>
          <w:bCs/>
          <w:color w:val="auto"/>
          <w:kern w:val="2"/>
          <w:sz w:val="28"/>
          <w:szCs w:val="28"/>
          <w:highlight w:val="none"/>
          <w:lang w:val="zh-CN" w:eastAsia="zh-CN" w:bidi="ar-SA"/>
        </w:rPr>
      </w:pPr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18" w:right="1134" w:bottom="1418" w:left="1418" w:header="851" w:footer="992" w:gutter="0"/>
          <w:pgNumType w:fmt="decimal"/>
          <w:cols w:space="720" w:num="1"/>
          <w:docGrid w:linePitch="312" w:charSpace="0"/>
        </w:sectPr>
      </w:pPr>
    </w:p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13"/>
      <w:bookmarkEnd w:id="14"/>
      <w:bookmarkEnd w:id="15"/>
      <w:bookmarkEnd w:id="16"/>
      <w:bookmarkEnd w:id="17"/>
    </w:p>
    <w:tbl>
      <w:tblPr>
        <w:tblStyle w:val="8"/>
        <w:tblW w:w="95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674"/>
        <w:gridCol w:w="674"/>
        <w:gridCol w:w="1080"/>
        <w:gridCol w:w="1080"/>
        <w:gridCol w:w="1080"/>
        <w:gridCol w:w="1080"/>
        <w:gridCol w:w="1080"/>
        <w:gridCol w:w="65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5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754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2024-JQ06-W3619 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氮气发生器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73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34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63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氮气发生器，采用分子筛吸附技术，全集成一体式氮气发生器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产品说明书和设备照片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具备ISO9001认证体系或相关高新企业认证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相关认证证书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CE认证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相关认证证书并附中文翻译版本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兼容类型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可以本机控制，也可以根据要求连接网络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技术平台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纳米级分子筛吸附技术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技术白皮书和产品说明书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氮气流量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（100-120）升/分钟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气体纯度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97%~99.9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出口压力范围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（1~110）psi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设备结构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一体机，所有设备集成在一个机箱内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控制方式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中央控制单元控制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显示方式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触摸屏控制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气源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全无油压缩机，4机头设计，双过滤进气系统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节能模式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独立程序设计，可以根据质谱运行数量和气量，随机调节压缩机运行时间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移动便捷性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整体设备带有脚轮和刹车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气路控制方式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 w:val="0"/>
                <w:iCs w:val="0"/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采用电子阀驱动气动阀控制，通过程序来控制电磁阀的开合，然后再由电磁阀来控制气路上的气动阀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iCs w:val="0"/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iCs w:val="0"/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氮气纯度检测仪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 w:val="0"/>
                <w:iCs w:val="0"/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精度：0ppm～21%  O2  +-1.5%FS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模拟输出：4～20mA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iCs w:val="0"/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iCs w:val="0"/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设备照片和企业承诺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氮气压力传感器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精度：+-2%F.S.+-1digit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模拟输出：4～20mA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设备照片和企业承诺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氮气流量传感器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精度：+-1%F.S.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模拟输出：4～20mA  可提供纯度在线监测仪，流量在线监测仪，压力在线监测仪，并可以实时4-20mA传输到模拟量处理模块，通过触摸屏显示设备运行状态。在屏膜上有运行故障报警显示，当压力过低，或者纯度不合格，设备需要维保时进行报警提示。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设备照片和企业承诺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一体机，至少包括氮气纯度检测仪1台，氮气压力传感器1台，氮气流量传感器1台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无封闭耗材（试剂）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563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29" w:name="_GoBack"/>
      <w:bookmarkEnd w:id="2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val="en-US"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>章 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124978362" o:spid="_x0000_s2050" o:spt="136" type="#_x0000_t136" style="position:absolute;left:0pt;height:219.8pt;width:439.6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124978361" o:spid="_x0000_s2049" o:spt="136" type="#_x0000_t136" style="position:absolute;left:0pt;height:219.8pt;width:439.6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4310C"/>
    <w:rsid w:val="51D4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Body Text"/>
    <w:basedOn w:val="1"/>
    <w:next w:val="1"/>
    <w:qFormat/>
    <w:uiPriority w:val="99"/>
    <w:pPr>
      <w:spacing w:after="12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2025-06-06T08:36:00Z</dcterms:created>
  <dc:creator>陈佩仪</dc:creator>
  <cp:lastModifiedBy>陈佩仪</cp:lastModifiedBy>
  <dcterms:modified xsi:type="dcterms:W3CDTF">2025-06-06T08:38:16Z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