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二、技术要求</w:t>
      </w:r>
    </w:p>
    <w:tbl>
      <w:tblPr>
        <w:tblStyle w:val="7"/>
        <w:tblW w:w="956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674"/>
        <w:gridCol w:w="674"/>
        <w:gridCol w:w="1080"/>
        <w:gridCol w:w="1080"/>
        <w:gridCol w:w="1080"/>
        <w:gridCol w:w="1080"/>
        <w:gridCol w:w="1080"/>
        <w:gridCol w:w="655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95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754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2834" w:type="dxa"/>
            <w:gridSpan w:val="3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2024-JQ06-W3622  </w:t>
            </w:r>
          </w:p>
        </w:tc>
        <w:tc>
          <w:tcPr>
            <w:tcW w:w="10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全自动蛋白分析仪</w:t>
            </w:r>
          </w:p>
        </w:tc>
        <w:tc>
          <w:tcPr>
            <w:tcW w:w="10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735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754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34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35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3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216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32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563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32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可检测蛋白常规项目：免疫球蛋白A、G、M;补体C3、C4、C反应蛋白、抗链O、类风湿。</w:t>
            </w: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32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提供医疗器械注册证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5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检测原理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32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散射比浊法</w:t>
            </w: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3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检测样本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32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包括血清、血浆、尿液和脑脊液；</w:t>
            </w: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3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检测速度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32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单机检测速度≥220测试/小时；</w:t>
            </w: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  <w:t>是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3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检测项目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32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≥60项；</w:t>
            </w:r>
            <w:r>
              <w:rPr>
                <w:rStyle w:val="9"/>
                <w:lang w:val="en-US" w:eastAsia="zh-CN" w:bidi="ar"/>
              </w:rPr>
              <w:t>须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包含常规项目：免疫球蛋白A、G、M;补体C3、C4；C反应蛋白、抗链O、类风湿</w:t>
            </w: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  <w:t>是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3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特殊项目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32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须包含：免疫球蛋白亚型IgG1、IgG2、IgG3、IgG4四项、游离轻链</w:t>
            </w:r>
            <w:r>
              <w:rPr>
                <w:rFonts w:ascii="Calibri" w:hAnsi="Calibri" w:eastAsia="黑体" w:cs="Calibri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κ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、游离轻链</w:t>
            </w:r>
            <w:r>
              <w:rPr>
                <w:rFonts w:ascii="Calibri" w:hAnsi="Calibri" w:eastAsia="黑体" w:cs="Calibri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λ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俩项、可溶性转铁蛋白受体sTfR、纤溶酶原、载脂蛋白E并提供注册证。</w:t>
            </w: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  <w:t>是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3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比色杯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32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≥58个可重复使用的比色杯</w:t>
            </w: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  <w:t>是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3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样品稀释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32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稀释范围1:1-1:40000</w:t>
            </w: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稀释杯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32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≥260个</w:t>
            </w: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  <w:t>是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3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工作站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32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处理器不低于酷睿i5，内存≥8G，硬盘≥500GB，不少于1个HDMI接口</w:t>
            </w: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  <w:t>是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相关证明材料不限于配置清单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3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配置要求1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32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全自动蛋白分析仪1台</w:t>
            </w: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相关证明材料不限于配置清单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3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32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封闭配套耗材（试剂）须与仪器为同一品牌，提供原厂配套封闭试剂耗材，检测试剂具备医疗器械注册证。具体年用量详见附件</w:t>
            </w: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提供注册证或备案证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3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32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auto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widowControl/>
        <w:snapToGrid w:val="0"/>
        <w:spacing w:line="560" w:lineRule="exact"/>
        <w:ind w:firstLine="560" w:firstLineChars="200"/>
        <w:jc w:val="left"/>
        <w:rPr>
          <w:rFonts w:ascii="宋体" w:hAnsi="宋体"/>
          <w:bCs/>
          <w:snapToGrid w:val="0"/>
          <w:sz w:val="28"/>
          <w:szCs w:val="28"/>
          <w:highlight w:val="none"/>
        </w:rPr>
      </w:pPr>
    </w:p>
    <w:p>
      <w:pPr>
        <w:shd w:val="clear"/>
        <w:tabs>
          <w:tab w:val="left" w:pos="0"/>
        </w:tabs>
        <w:spacing w:line="560" w:lineRule="atLeast"/>
        <w:ind w:firstLine="562" w:firstLineChars="200"/>
        <w:rPr>
          <w:rFonts w:hint="eastAsia"/>
          <w:b/>
          <w:sz w:val="28"/>
          <w:szCs w:val="28"/>
          <w:highlight w:val="none"/>
          <w:lang w:val="en-US" w:eastAsia="zh-CN"/>
        </w:rPr>
      </w:pPr>
    </w:p>
    <w:p>
      <w:pPr>
        <w:shd w:val="clear"/>
        <w:tabs>
          <w:tab w:val="left" w:pos="0"/>
        </w:tabs>
        <w:spacing w:line="560" w:lineRule="atLeast"/>
        <w:ind w:firstLine="562" w:firstLineChars="200"/>
        <w:rPr>
          <w:rFonts w:hint="eastAsia"/>
          <w:b/>
          <w:sz w:val="28"/>
          <w:szCs w:val="28"/>
          <w:highlight w:val="none"/>
          <w:lang w:val="en-US" w:eastAsia="zh-CN"/>
        </w:rPr>
      </w:pPr>
    </w:p>
    <w:p>
      <w:pPr>
        <w:shd w:val="clear"/>
        <w:tabs>
          <w:tab w:val="left" w:pos="0"/>
        </w:tabs>
        <w:spacing w:line="560" w:lineRule="atLeast"/>
        <w:ind w:firstLine="562" w:firstLineChars="200"/>
        <w:rPr>
          <w:rFonts w:hint="eastAsia"/>
          <w:b/>
          <w:sz w:val="28"/>
          <w:szCs w:val="28"/>
          <w:highlight w:val="none"/>
          <w:lang w:val="en-US" w:eastAsia="zh-CN"/>
        </w:rPr>
      </w:pPr>
    </w:p>
    <w:p>
      <w:pPr>
        <w:shd w:val="clear"/>
        <w:tabs>
          <w:tab w:val="left" w:pos="0"/>
        </w:tabs>
        <w:spacing w:line="560" w:lineRule="atLeast"/>
        <w:ind w:firstLine="562" w:firstLineChars="200"/>
        <w:rPr>
          <w:rFonts w:hint="eastAsia"/>
          <w:b/>
          <w:sz w:val="28"/>
          <w:szCs w:val="28"/>
          <w:highlight w:val="none"/>
          <w:lang w:val="en-US" w:eastAsia="zh-CN"/>
        </w:rPr>
      </w:pPr>
    </w:p>
    <w:p>
      <w:pPr>
        <w:shd w:val="clear"/>
        <w:tabs>
          <w:tab w:val="left" w:pos="0"/>
        </w:tabs>
        <w:spacing w:line="560" w:lineRule="atLeast"/>
        <w:ind w:firstLine="562" w:firstLineChars="200"/>
        <w:rPr>
          <w:rFonts w:hint="eastAsia"/>
          <w:b/>
          <w:sz w:val="28"/>
          <w:szCs w:val="28"/>
          <w:highlight w:val="none"/>
          <w:lang w:val="en-US" w:eastAsia="zh-CN"/>
        </w:rPr>
      </w:pPr>
    </w:p>
    <w:p>
      <w:pPr>
        <w:shd w:val="clear"/>
        <w:tabs>
          <w:tab w:val="left" w:pos="0"/>
        </w:tabs>
        <w:spacing w:line="560" w:lineRule="atLeast"/>
        <w:ind w:firstLine="562" w:firstLineChars="200"/>
        <w:rPr>
          <w:rFonts w:hint="eastAsia"/>
          <w:b/>
          <w:sz w:val="28"/>
          <w:szCs w:val="28"/>
          <w:highlight w:val="none"/>
          <w:lang w:val="en-US" w:eastAsia="zh-CN"/>
        </w:rPr>
      </w:pPr>
    </w:p>
    <w:p>
      <w:pPr>
        <w:shd w:val="clear"/>
        <w:tabs>
          <w:tab w:val="left" w:pos="0"/>
        </w:tabs>
        <w:spacing w:line="560" w:lineRule="atLeast"/>
        <w:ind w:firstLine="562" w:firstLineChars="200"/>
        <w:rPr>
          <w:rFonts w:hint="eastAsia"/>
          <w:b/>
          <w:sz w:val="28"/>
          <w:szCs w:val="28"/>
          <w:highlight w:val="none"/>
          <w:lang w:val="en-US" w:eastAsia="zh-CN"/>
        </w:rPr>
      </w:pPr>
    </w:p>
    <w:p>
      <w:pPr>
        <w:shd w:val="clear"/>
        <w:tabs>
          <w:tab w:val="left" w:pos="0"/>
        </w:tabs>
        <w:spacing w:line="560" w:lineRule="atLeast"/>
        <w:ind w:firstLine="562" w:firstLineChars="200"/>
        <w:rPr>
          <w:rFonts w:hint="eastAsia"/>
          <w:b/>
          <w:sz w:val="28"/>
          <w:szCs w:val="28"/>
          <w:highlight w:val="none"/>
          <w:lang w:val="en-US" w:eastAsia="zh-CN"/>
        </w:rPr>
      </w:pPr>
    </w:p>
    <w:p>
      <w:pPr>
        <w:shd w:val="clear"/>
        <w:tabs>
          <w:tab w:val="left" w:pos="0"/>
        </w:tabs>
        <w:spacing w:line="560" w:lineRule="atLeast"/>
        <w:ind w:firstLine="562" w:firstLineChars="200"/>
        <w:rPr>
          <w:rFonts w:hint="eastAsia"/>
          <w:b/>
          <w:sz w:val="28"/>
          <w:szCs w:val="28"/>
          <w:highlight w:val="none"/>
          <w:lang w:val="en-US" w:eastAsia="zh-CN"/>
        </w:rPr>
      </w:pPr>
    </w:p>
    <w:p>
      <w:pPr>
        <w:shd w:val="clear"/>
        <w:tabs>
          <w:tab w:val="left" w:pos="0"/>
        </w:tabs>
        <w:spacing w:line="560" w:lineRule="atLeast"/>
        <w:ind w:firstLine="562" w:firstLineChars="200"/>
        <w:rPr>
          <w:rFonts w:hint="eastAsia"/>
          <w:b/>
          <w:sz w:val="28"/>
          <w:szCs w:val="28"/>
          <w:highlight w:val="none"/>
          <w:lang w:val="en-US" w:eastAsia="zh-CN"/>
        </w:rPr>
      </w:pPr>
    </w:p>
    <w:p>
      <w:pPr>
        <w:shd w:val="clear"/>
        <w:tabs>
          <w:tab w:val="left" w:pos="0"/>
        </w:tabs>
        <w:spacing w:line="560" w:lineRule="atLeast"/>
        <w:ind w:firstLine="562" w:firstLineChars="200"/>
        <w:rPr>
          <w:rFonts w:hint="eastAsia"/>
          <w:b/>
          <w:sz w:val="28"/>
          <w:szCs w:val="28"/>
          <w:highlight w:val="none"/>
          <w:lang w:val="en-US" w:eastAsia="zh-CN"/>
        </w:rPr>
      </w:pPr>
    </w:p>
    <w:p>
      <w:pPr>
        <w:shd w:val="clear"/>
        <w:tabs>
          <w:tab w:val="left" w:pos="0"/>
        </w:tabs>
        <w:spacing w:line="560" w:lineRule="atLeast"/>
        <w:ind w:firstLine="562" w:firstLineChars="200"/>
        <w:rPr>
          <w:rFonts w:hint="eastAsia"/>
          <w:b/>
          <w:sz w:val="28"/>
          <w:szCs w:val="28"/>
          <w:highlight w:val="none"/>
          <w:lang w:val="en-US" w:eastAsia="zh-CN"/>
        </w:rPr>
      </w:pPr>
    </w:p>
    <w:p>
      <w:pPr>
        <w:shd w:val="clear"/>
        <w:tabs>
          <w:tab w:val="left" w:pos="0"/>
        </w:tabs>
        <w:spacing w:line="560" w:lineRule="atLeast"/>
        <w:ind w:firstLine="562" w:firstLineChars="200"/>
        <w:rPr>
          <w:rFonts w:hint="eastAsia"/>
          <w:b/>
          <w:sz w:val="28"/>
          <w:szCs w:val="28"/>
          <w:highlight w:val="none"/>
          <w:lang w:val="en-US" w:eastAsia="zh-CN"/>
        </w:rPr>
      </w:pPr>
    </w:p>
    <w:p>
      <w:pPr>
        <w:shd w:val="clear"/>
        <w:tabs>
          <w:tab w:val="left" w:pos="0"/>
        </w:tabs>
        <w:spacing w:line="560" w:lineRule="atLeast"/>
        <w:ind w:firstLine="562" w:firstLineChars="200"/>
        <w:rPr>
          <w:rFonts w:hint="eastAsia"/>
          <w:b/>
          <w:sz w:val="28"/>
          <w:szCs w:val="28"/>
          <w:highlight w:val="none"/>
          <w:lang w:val="en-US" w:eastAsia="zh-CN"/>
        </w:rPr>
      </w:pPr>
    </w:p>
    <w:p>
      <w:pPr>
        <w:shd w:val="clear"/>
        <w:tabs>
          <w:tab w:val="left" w:pos="0"/>
        </w:tabs>
        <w:spacing w:line="560" w:lineRule="atLeast"/>
        <w:ind w:firstLine="562" w:firstLineChars="200"/>
        <w:rPr>
          <w:rFonts w:hint="eastAsia"/>
          <w:b/>
          <w:sz w:val="28"/>
          <w:szCs w:val="28"/>
          <w:highlight w:val="none"/>
          <w:lang w:val="en-US" w:eastAsia="zh-CN"/>
        </w:rPr>
      </w:pPr>
    </w:p>
    <w:p>
      <w:pPr>
        <w:shd w:val="clear"/>
        <w:tabs>
          <w:tab w:val="left" w:pos="0"/>
        </w:tabs>
        <w:spacing w:line="560" w:lineRule="atLeast"/>
        <w:ind w:firstLine="562" w:firstLineChars="200"/>
        <w:rPr>
          <w:rFonts w:hint="eastAsia"/>
          <w:b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sz w:val="28"/>
          <w:szCs w:val="28"/>
          <w:highlight w:val="none"/>
          <w:lang w:val="en-US" w:eastAsia="zh-CN"/>
        </w:rPr>
        <w:t>耗材/试剂参数表：</w:t>
      </w:r>
    </w:p>
    <w:p>
      <w:pPr>
        <w:pStyle w:val="4"/>
        <w:rPr>
          <w:rFonts w:hint="eastAsia"/>
          <w:highlight w:val="none"/>
          <w:lang w:val="en-US" w:eastAsia="zh-CN"/>
        </w:rPr>
      </w:pPr>
    </w:p>
    <w:tbl>
      <w:tblPr>
        <w:tblStyle w:val="7"/>
        <w:tblW w:w="936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5"/>
        <w:gridCol w:w="1878"/>
        <w:gridCol w:w="1233"/>
        <w:gridCol w:w="917"/>
        <w:gridCol w:w="1083"/>
        <w:gridCol w:w="1250"/>
        <w:gridCol w:w="15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封闭耗材（试剂）用量测算表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4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111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全自动蛋白分析仪</w:t>
            </w:r>
          </w:p>
        </w:tc>
        <w:tc>
          <w:tcPr>
            <w:tcW w:w="91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3858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2024-JQ06-W3622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8" w:hRule="atLeast"/>
        </w:trPr>
        <w:tc>
          <w:tcPr>
            <w:tcW w:w="147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描述</w:t>
            </w:r>
          </w:p>
        </w:tc>
        <w:tc>
          <w:tcPr>
            <w:tcW w:w="7886" w:type="dxa"/>
            <w:gridSpan w:val="6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耗材（试剂）与设备为同一品牌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耗材（开展项目）名称</w:t>
            </w:r>
          </w:p>
        </w:tc>
        <w:tc>
          <w:tcPr>
            <w:tcW w:w="2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抗链球菌素O测定</w:t>
            </w:r>
          </w:p>
        </w:tc>
        <w:tc>
          <w:tcPr>
            <w:tcW w:w="2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人份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类风湿因子测定</w:t>
            </w:r>
          </w:p>
        </w:tc>
        <w:tc>
          <w:tcPr>
            <w:tcW w:w="2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人份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补体C3测定</w:t>
            </w:r>
          </w:p>
        </w:tc>
        <w:tc>
          <w:tcPr>
            <w:tcW w:w="2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人份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补体C4测定</w:t>
            </w:r>
          </w:p>
        </w:tc>
        <w:tc>
          <w:tcPr>
            <w:tcW w:w="2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人份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C反应蛋白测定</w:t>
            </w:r>
          </w:p>
        </w:tc>
        <w:tc>
          <w:tcPr>
            <w:tcW w:w="2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人份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="等线" w:hAnsi="等线" w:eastAsia="等线" w:cs="等线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default" w:ascii="等线" w:hAnsi="等线" w:eastAsia="等线" w:cs="等线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说明：1.所投产品提供的耗材/试剂按医疗器械管理的，须提供相应的医疗器械注册证或备案凭证；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98" w:leftChars="285" w:right="0" w:rightChars="0" w:hanging="200" w:hangingChars="100"/>
        <w:jc w:val="left"/>
        <w:textAlignment w:val="center"/>
        <w:outlineLvl w:val="9"/>
        <w:rPr>
          <w:rFonts w:hint="eastAsia" w:ascii="等线" w:hAnsi="等线" w:eastAsia="等线" w:cs="等线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2.所投产品，需报价人根据设备配套情况全规格型号报价，</w:t>
      </w:r>
      <w:r>
        <w:rPr>
          <w:rFonts w:hint="default" w:ascii="等线" w:hAnsi="等线" w:eastAsia="等线" w:cs="等线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开放耗材和不明确的封闭耗材</w:t>
      </w:r>
      <w:r>
        <w:rPr>
          <w:rFonts w:hint="eastAsia" w:ascii="等线" w:hAnsi="等线" w:eastAsia="等线" w:cs="等线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/试剂</w:t>
      </w:r>
      <w:r>
        <w:rPr>
          <w:rFonts w:hint="default" w:ascii="等线" w:hAnsi="等线" w:eastAsia="等线" w:cs="等线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，不参与评分，只填写耗材价格构成表</w:t>
      </w:r>
      <w:r>
        <w:rPr>
          <w:rFonts w:hint="eastAsia" w:ascii="等线" w:hAnsi="等线" w:eastAsia="等线" w:cs="等线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00" w:firstLineChars="300"/>
        <w:jc w:val="left"/>
        <w:textAlignment w:val="center"/>
        <w:outlineLvl w:val="9"/>
        <w:rPr>
          <w:rFonts w:hint="eastAsia" w:ascii="等线" w:hAnsi="等线" w:eastAsia="宋体" w:cs="等线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3.耗材/试剂为解放军总医院目录内产品，须一同报价，并按照就低原则同步调价</w:t>
      </w:r>
      <w:r>
        <w:rPr>
          <w:rFonts w:hint="eastAsia" w:ascii="等线" w:hAnsi="等线" w:eastAsia="宋体" w:cs="等线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3A6D53"/>
    <w:rsid w:val="513A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4">
    <w:name w:val="Body Text"/>
    <w:basedOn w:val="1"/>
    <w:next w:val="1"/>
    <w:qFormat/>
    <w:uiPriority w:val="99"/>
    <w:pPr>
      <w:spacing w:after="120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font81"/>
    <w:basedOn w:val="8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2025-06-11T07:30:00Z</dcterms:created>
  <dc:creator>陈佩仪</dc:creator>
  <cp:lastModifiedBy>陈佩仪</cp:lastModifiedBy>
  <dcterms:modified xsi:type="dcterms:W3CDTF">2025-06-11T07:31:05Z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