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i w:val="0"/>
          <w:iCs/>
          <w:sz w:val="28"/>
          <w:szCs w:val="28"/>
          <w:highlight w:val="none"/>
        </w:rPr>
      </w:pPr>
      <w:r>
        <w:rPr>
          <w:rFonts w:hint="eastAsia" w:ascii="宋体" w:hAnsi="宋体" w:eastAsia="宋体" w:cs="宋体"/>
          <w:bCs/>
          <w:i w:val="0"/>
          <w:iCs/>
          <w:sz w:val="28"/>
          <w:szCs w:val="28"/>
          <w:highlight w:val="none"/>
        </w:rPr>
        <w:t>按照采购单位提供的技术要求拟制。关键性技术指标参数前标记“</w:t>
      </w:r>
      <w:r>
        <w:rPr>
          <w:rFonts w:hint="eastAsia" w:asciiTheme="minorEastAsia" w:hAnsiTheme="minorEastAsia" w:eastAsiaTheme="minorEastAsia" w:cstheme="minorEastAsia"/>
          <w:color w:val="000000"/>
          <w:kern w:val="0"/>
          <w:sz w:val="21"/>
          <w:szCs w:val="21"/>
          <w:lang w:eastAsia="zh-CN" w:bidi="ar"/>
        </w:rPr>
        <w:t>★</w:t>
      </w:r>
      <w:r>
        <w:rPr>
          <w:rFonts w:hint="eastAsia" w:ascii="宋体" w:hAnsi="宋体" w:eastAsia="宋体" w:cs="宋体"/>
          <w:bCs/>
          <w:i w:val="0"/>
          <w:iCs/>
          <w:sz w:val="28"/>
          <w:szCs w:val="28"/>
          <w:highlight w:val="none"/>
        </w:rPr>
        <w:t>”符号，一般性指标参数前不作标记。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i w:val="0"/>
          <w:iCs/>
          <w:sz w:val="28"/>
          <w:szCs w:val="28"/>
          <w:highlight w:val="none"/>
          <w:lang w:eastAsia="zh-CN"/>
        </w:rPr>
      </w:pPr>
      <w:r>
        <w:rPr>
          <w:rFonts w:hint="eastAsia"/>
          <w:sz w:val="28"/>
          <w:szCs w:val="28"/>
        </w:rPr>
        <w:t>带“</w:t>
      </w:r>
      <w:r>
        <w:rPr>
          <w:rFonts w:hint="eastAsia" w:asciiTheme="minorEastAsia" w:hAnsiTheme="minorEastAsia" w:eastAsiaTheme="minorEastAsia" w:cstheme="minorEastAsia"/>
          <w:color w:val="000000"/>
          <w:kern w:val="0"/>
          <w:sz w:val="21"/>
          <w:szCs w:val="21"/>
          <w:lang w:eastAsia="zh-CN" w:bidi="ar"/>
        </w:rPr>
        <w:t>★</w:t>
      </w:r>
      <w:r>
        <w:rPr>
          <w:rFonts w:hint="eastAsia"/>
          <w:sz w:val="28"/>
          <w:szCs w:val="28"/>
        </w:rPr>
        <w:t>”</w:t>
      </w:r>
      <w:r>
        <w:rPr>
          <w:rFonts w:hint="eastAsia"/>
          <w:sz w:val="28"/>
          <w:szCs w:val="28"/>
          <w:lang w:eastAsia="zh-CN"/>
        </w:rPr>
        <w:t>和</w:t>
      </w:r>
      <w:r>
        <w:rPr>
          <w:rFonts w:hint="eastAsia"/>
          <w:sz w:val="28"/>
          <w:szCs w:val="28"/>
        </w:rPr>
        <w:t>“</w:t>
      </w:r>
      <w:r>
        <w:rPr>
          <w:rFonts w:hint="eastAsia" w:asciiTheme="minorEastAsia" w:hAnsiTheme="minorEastAsia" w:eastAsiaTheme="minorEastAsia" w:cstheme="minorEastAsia"/>
          <w:color w:val="000000"/>
          <w:kern w:val="0"/>
          <w:sz w:val="21"/>
          <w:szCs w:val="21"/>
          <w:lang w:eastAsia="zh-CN" w:bidi="ar"/>
        </w:rPr>
        <w:t>▲</w:t>
      </w:r>
      <w:r>
        <w:rPr>
          <w:rFonts w:hint="eastAsia"/>
          <w:sz w:val="28"/>
          <w:szCs w:val="28"/>
        </w:rPr>
        <w:t>”条款</w:t>
      </w:r>
      <w:r>
        <w:rPr>
          <w:rFonts w:hint="eastAsia" w:ascii="宋体" w:hAnsi="宋体" w:eastAsia="宋体" w:cs="宋体"/>
          <w:bCs/>
          <w:i w:val="0"/>
          <w:iCs/>
          <w:sz w:val="28"/>
          <w:szCs w:val="28"/>
          <w:highlight w:val="none"/>
        </w:rPr>
        <w:t>需提供技术支持材料</w:t>
      </w:r>
      <w:r>
        <w:rPr>
          <w:rFonts w:hint="eastAsia" w:ascii="宋体" w:hAnsi="宋体" w:eastAsia="宋体" w:cs="宋体"/>
          <w:bCs/>
          <w:i w:val="0"/>
          <w:iCs/>
          <w:sz w:val="28"/>
          <w:szCs w:val="28"/>
          <w:highlight w:val="none"/>
          <w:lang w:eastAsia="zh-CN"/>
        </w:rPr>
        <w:t>【①技术要求中明确的</w:t>
      </w:r>
      <w:r>
        <w:rPr>
          <w:rFonts w:hint="eastAsia" w:ascii="宋体" w:hAnsi="宋体" w:eastAsia="宋体" w:cs="宋体"/>
          <w:bCs/>
          <w:i w:val="0"/>
          <w:iCs/>
          <w:sz w:val="28"/>
          <w:szCs w:val="28"/>
          <w:highlight w:val="none"/>
        </w:rPr>
        <w:t>技术支持材料以具体项目为准</w:t>
      </w:r>
      <w:r>
        <w:rPr>
          <w:rFonts w:hint="eastAsia" w:ascii="宋体" w:hAnsi="宋体" w:eastAsia="宋体" w:cs="宋体"/>
          <w:bCs/>
          <w:i w:val="0"/>
          <w:iCs/>
          <w:sz w:val="28"/>
          <w:szCs w:val="28"/>
          <w:highlight w:val="none"/>
          <w:lang w:eastAsia="zh-CN"/>
        </w:rPr>
        <w:t>；②未明确的</w:t>
      </w:r>
      <w:r>
        <w:rPr>
          <w:rFonts w:hint="eastAsia" w:ascii="宋体" w:hAnsi="宋体" w:eastAsia="宋体" w:cs="宋体"/>
          <w:bCs/>
          <w:i w:val="0"/>
          <w:iCs/>
          <w:sz w:val="28"/>
          <w:szCs w:val="28"/>
          <w:highlight w:val="none"/>
        </w:rPr>
        <w:t>技术支持材料可以从（不限于）以下支持材料选择：产品规格表、产品宣传彩页、技术白皮书、制造商官方网站发布的产品信息、说明书等或检测机构出具的检测报告等技术材料支持的</w:t>
      </w:r>
      <w:r>
        <w:rPr>
          <w:rFonts w:hint="eastAsia" w:ascii="宋体" w:hAnsi="宋体" w:eastAsia="宋体" w:cs="宋体"/>
          <w:bCs/>
          <w:i w:val="0"/>
          <w:iCs/>
          <w:sz w:val="28"/>
          <w:szCs w:val="28"/>
          <w:highlight w:val="none"/>
          <w:lang w:eastAsia="zh-CN"/>
        </w:rPr>
        <w:t>（定制产品除外</w:t>
      </w:r>
      <w:r>
        <w:rPr>
          <w:rFonts w:hint="eastAsia" w:ascii="宋体" w:hAnsi="宋体" w:eastAsia="宋体" w:cs="宋体"/>
          <w:bCs/>
          <w:i w:val="0"/>
          <w:iCs/>
          <w:sz w:val="28"/>
          <w:szCs w:val="28"/>
          <w:highlight w:val="none"/>
        </w:rPr>
        <w:t>）</w:t>
      </w:r>
      <w:r>
        <w:rPr>
          <w:rFonts w:hint="eastAsia" w:ascii="宋体" w:hAnsi="宋体" w:eastAsia="宋体" w:cs="宋体"/>
          <w:bCs/>
          <w:i w:val="0"/>
          <w:iCs/>
          <w:sz w:val="28"/>
          <w:szCs w:val="28"/>
          <w:highlight w:val="none"/>
          <w:lang w:eastAsia="zh-CN"/>
        </w:rPr>
        <w:t>；③定制产品的技术支持材料可提供响应承诺。】</w:t>
      </w:r>
      <w:bookmarkStart w:id="0" w:name="_GoBack"/>
      <w:bookmarkEnd w:id="0"/>
    </w:p>
    <w:tbl>
      <w:tblPr>
        <w:tblStyle w:val="4"/>
        <w:tblW w:w="4996" w:type="pct"/>
        <w:jc w:val="center"/>
        <w:tblLayout w:type="autofit"/>
        <w:tblCellMar>
          <w:top w:w="0" w:type="dxa"/>
          <w:left w:w="108" w:type="dxa"/>
          <w:bottom w:w="0" w:type="dxa"/>
          <w:right w:w="108" w:type="dxa"/>
        </w:tblCellMar>
      </w:tblPr>
      <w:tblGrid>
        <w:gridCol w:w="570"/>
        <w:gridCol w:w="1593"/>
        <w:gridCol w:w="824"/>
        <w:gridCol w:w="88"/>
        <w:gridCol w:w="5074"/>
        <w:gridCol w:w="1414"/>
      </w:tblGrid>
      <w:tr>
        <w:tblPrEx>
          <w:tblCellMar>
            <w:top w:w="0" w:type="dxa"/>
            <w:left w:w="108" w:type="dxa"/>
            <w:bottom w:w="0" w:type="dxa"/>
            <w:right w:w="108" w:type="dxa"/>
          </w:tblCellMar>
        </w:tblPrEx>
        <w:trPr>
          <w:trHeight w:val="500"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sz w:val="21"/>
                <w:szCs w:val="21"/>
              </w:rPr>
            </w:pPr>
            <w:r>
              <w:rPr>
                <w:rFonts w:hint="eastAsia" w:ascii="宋体" w:hAnsi="宋体" w:eastAsia="宋体" w:cs="宋体"/>
                <w:b/>
                <w:bCs/>
                <w:i w:val="0"/>
                <w:iCs w:val="0"/>
                <w:kern w:val="0"/>
                <w:sz w:val="21"/>
                <w:szCs w:val="21"/>
                <w:lang w:bidi="ar"/>
              </w:rPr>
              <w:t>序号</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kern w:val="0"/>
                <w:sz w:val="21"/>
                <w:szCs w:val="21"/>
                <w:lang w:bidi="ar"/>
              </w:rPr>
            </w:pPr>
            <w:r>
              <w:rPr>
                <w:rFonts w:hint="eastAsia" w:ascii="宋体" w:hAnsi="宋体" w:eastAsia="宋体" w:cs="宋体"/>
                <w:b/>
                <w:bCs/>
                <w:i w:val="0"/>
                <w:iCs w:val="0"/>
                <w:kern w:val="0"/>
                <w:sz w:val="21"/>
                <w:szCs w:val="21"/>
                <w:lang w:bidi="ar"/>
              </w:rPr>
              <w:t>需求名称</w:t>
            </w:r>
          </w:p>
        </w:tc>
        <w:tc>
          <w:tcPr>
            <w:tcW w:w="477"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kern w:val="0"/>
                <w:sz w:val="21"/>
                <w:szCs w:val="21"/>
                <w:lang w:bidi="ar"/>
              </w:rPr>
            </w:pPr>
            <w:r>
              <w:rPr>
                <w:rFonts w:hint="eastAsia" w:ascii="宋体" w:hAnsi="宋体" w:eastAsia="宋体" w:cs="宋体"/>
                <w:b/>
                <w:bCs/>
                <w:i w:val="0"/>
                <w:iCs w:val="0"/>
                <w:kern w:val="0"/>
                <w:sz w:val="21"/>
                <w:szCs w:val="21"/>
                <w:lang w:bidi="ar"/>
              </w:rPr>
              <w:t>参数</w:t>
            </w:r>
          </w:p>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sz w:val="21"/>
                <w:szCs w:val="21"/>
              </w:rPr>
            </w:pPr>
            <w:r>
              <w:rPr>
                <w:rFonts w:hint="eastAsia" w:ascii="宋体" w:hAnsi="宋体" w:eastAsia="宋体" w:cs="宋体"/>
                <w:b/>
                <w:bCs/>
                <w:i w:val="0"/>
                <w:iCs w:val="0"/>
                <w:kern w:val="0"/>
                <w:sz w:val="21"/>
                <w:szCs w:val="21"/>
                <w:lang w:bidi="ar"/>
              </w:rPr>
              <w:t>性质</w:t>
            </w:r>
          </w:p>
        </w:tc>
        <w:tc>
          <w:tcPr>
            <w:tcW w:w="2652"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sz w:val="21"/>
                <w:szCs w:val="21"/>
              </w:rPr>
            </w:pPr>
            <w:r>
              <w:rPr>
                <w:rFonts w:hint="eastAsia" w:ascii="宋体" w:hAnsi="宋体" w:eastAsia="宋体" w:cs="宋体"/>
                <w:b/>
                <w:bCs/>
                <w:i w:val="0"/>
                <w:iCs w:val="0"/>
                <w:kern w:val="0"/>
                <w:sz w:val="21"/>
                <w:szCs w:val="21"/>
                <w:lang w:bidi="ar"/>
              </w:rPr>
              <w:t>需求具体内容</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sz w:val="21"/>
                <w:szCs w:val="21"/>
              </w:rPr>
            </w:pPr>
            <w:r>
              <w:rPr>
                <w:rFonts w:hint="eastAsia" w:ascii="宋体" w:hAnsi="宋体" w:eastAsia="宋体" w:cs="宋体"/>
                <w:b/>
                <w:bCs/>
                <w:i w:val="0"/>
                <w:iCs w:val="0"/>
                <w:kern w:val="0"/>
                <w:sz w:val="21"/>
                <w:szCs w:val="21"/>
                <w:lang w:bidi="ar"/>
              </w:rPr>
              <w:t>备注（证明材料等其他要求）</w:t>
            </w:r>
          </w:p>
        </w:tc>
      </w:tr>
      <w:tr>
        <w:tblPrEx>
          <w:tblCellMar>
            <w:top w:w="0" w:type="dxa"/>
            <w:left w:w="108" w:type="dxa"/>
            <w:bottom w:w="0" w:type="dxa"/>
            <w:right w:w="108" w:type="dxa"/>
          </w:tblCellMar>
        </w:tblPrEx>
        <w:trPr>
          <w:trHeight w:val="500" w:hRule="atLeast"/>
          <w:jc w:val="center"/>
        </w:trPr>
        <w:tc>
          <w:tcPr>
            <w:tcW w:w="4261" w:type="pct"/>
            <w:gridSpan w:val="5"/>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kern w:val="0"/>
                <w:sz w:val="21"/>
                <w:szCs w:val="21"/>
                <w:lang w:bidi="ar"/>
              </w:rPr>
            </w:pPr>
            <w:r>
              <w:rPr>
                <w:rFonts w:hint="eastAsia" w:ascii="宋体" w:hAnsi="宋体" w:eastAsia="宋体" w:cs="宋体"/>
                <w:b/>
                <w:bCs/>
                <w:i w:val="0"/>
                <w:iCs w:val="0"/>
                <w:kern w:val="0"/>
                <w:sz w:val="21"/>
                <w:szCs w:val="21"/>
                <w:lang w:bidi="ar"/>
              </w:rPr>
              <w:t>技术要求</w:t>
            </w:r>
          </w:p>
        </w:tc>
        <w:tc>
          <w:tcPr>
            <w:tcW w:w="738" w:type="pct"/>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kern w:val="0"/>
                <w:sz w:val="21"/>
                <w:szCs w:val="21"/>
                <w:lang w:bidi="ar"/>
              </w:rPr>
            </w:pPr>
          </w:p>
        </w:tc>
      </w:tr>
      <w:tr>
        <w:tblPrEx>
          <w:tblCellMar>
            <w:top w:w="0" w:type="dxa"/>
            <w:left w:w="108" w:type="dxa"/>
            <w:bottom w:w="0" w:type="dxa"/>
            <w:right w:w="108" w:type="dxa"/>
          </w:tblCellMar>
        </w:tblPrEx>
        <w:trPr>
          <w:trHeight w:val="500"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1</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基本要求</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sz w:val="21"/>
                <w:szCs w:val="21"/>
                <w:lang w:val="en-US" w:eastAsia="zh-CN"/>
              </w:rPr>
            </w:pPr>
            <w:r>
              <w:rPr>
                <w:rFonts w:hint="eastAsia" w:ascii="宋体" w:hAnsi="宋体" w:eastAsia="宋体" w:cs="宋体"/>
                <w:i w:val="0"/>
                <w:iCs w:val="0"/>
                <w:kern w:val="0"/>
                <w:sz w:val="21"/>
                <w:szCs w:val="21"/>
                <w:lang w:bidi="ar"/>
              </w:rPr>
              <w:t>管道消杀装备整机和车载消杀装备整机在典型应用现场使用,包括模拟地下坑道（方舱医院手术室通风管道、生物安全厕所）和救护车，设备调试及验证消杀效果测试，全自动环境模拟系统，多参数实时同步监测。完成自然菌单次通过消杀能力试验设计、实施及效果评价</w:t>
            </w:r>
            <w:r>
              <w:rPr>
                <w:rFonts w:hint="eastAsia" w:ascii="宋体" w:hAnsi="宋体" w:eastAsia="宋体" w:cs="宋体"/>
                <w:i w:val="0"/>
                <w:iCs w:val="0"/>
                <w:kern w:val="0"/>
                <w:sz w:val="21"/>
                <w:szCs w:val="21"/>
                <w:lang w:eastAsia="zh-CN" w:bidi="ar"/>
              </w:rPr>
              <w:t>，</w:t>
            </w:r>
            <w:r>
              <w:rPr>
                <w:rFonts w:hint="eastAsia" w:ascii="宋体" w:hAnsi="宋体" w:eastAsia="宋体" w:cs="宋体"/>
                <w:i w:val="0"/>
                <w:iCs w:val="0"/>
                <w:kern w:val="0"/>
                <w:sz w:val="21"/>
                <w:szCs w:val="21"/>
                <w:lang w:val="en-US" w:eastAsia="zh-CN" w:bidi="ar"/>
              </w:rPr>
              <w:t>并出具报告。</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920" w:hRule="atLeast"/>
          <w:jc w:val="center"/>
        </w:trPr>
        <w:tc>
          <w:tcPr>
            <w:tcW w:w="298" w:type="pct"/>
            <w:vMerge w:val="restart"/>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lang w:val="en-US" w:eastAsia="zh-CN"/>
              </w:rPr>
            </w:pPr>
            <w:r>
              <w:rPr>
                <w:rFonts w:hint="eastAsia" w:ascii="宋体" w:hAnsi="宋体" w:eastAsia="宋体" w:cs="宋体"/>
                <w:i w:val="0"/>
                <w:iCs w:val="0"/>
                <w:sz w:val="21"/>
                <w:szCs w:val="21"/>
                <w:lang w:val="en-US" w:eastAsia="zh-CN"/>
              </w:rPr>
              <w:t>2</w:t>
            </w:r>
          </w:p>
        </w:tc>
        <w:tc>
          <w:tcPr>
            <w:tcW w:w="833" w:type="pct"/>
            <w:vMerge w:val="restart"/>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标准规范</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设备多场景调试符合GB/T 34012《通风系统用空气净化装置》，GB/T 50736《民用建筑供暖通风与空气调节设计规范；</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920" w:hRule="atLeast"/>
          <w:jc w:val="center"/>
        </w:trPr>
        <w:tc>
          <w:tcPr>
            <w:tcW w:w="298" w:type="pct"/>
            <w:vMerge w:val="continue"/>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lang w:val="en-US" w:eastAsia="zh-CN"/>
              </w:rPr>
            </w:pPr>
          </w:p>
        </w:tc>
        <w:tc>
          <w:tcPr>
            <w:tcW w:w="833" w:type="pct"/>
            <w:vMerge w:val="continue"/>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消杀效果测试符合依据GB 15982-2012 《医院消毒卫生标准》</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lang w:val="en-US" w:eastAsia="zh-CN"/>
              </w:rPr>
            </w:pPr>
            <w:r>
              <w:rPr>
                <w:rFonts w:hint="eastAsia" w:ascii="宋体" w:hAnsi="宋体" w:eastAsia="宋体" w:cs="宋体"/>
                <w:i w:val="0"/>
                <w:iCs w:val="0"/>
                <w:sz w:val="21"/>
                <w:szCs w:val="21"/>
                <w:lang w:val="en-US" w:eastAsia="zh-CN"/>
              </w:rPr>
              <w:t>3</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技术指标1</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sz w:val="21"/>
                <w:szCs w:val="21"/>
              </w:rPr>
            </w:pPr>
            <w:r>
              <w:rPr>
                <w:rFonts w:hint="eastAsia" w:ascii="宋体" w:hAnsi="宋体" w:eastAsia="宋体" w:cs="宋体"/>
                <w:i w:val="0"/>
                <w:iCs w:val="0"/>
                <w:color w:val="000000" w:themeColor="text1"/>
                <w:kern w:val="0"/>
                <w:sz w:val="21"/>
                <w:szCs w:val="21"/>
                <w:lang w:bidi="ar"/>
                <w14:textFill>
                  <w14:solidFill>
                    <w14:schemeClr w14:val="tx1"/>
                  </w14:solidFill>
                </w14:textFill>
              </w:rPr>
              <w:t>管道消杀装备整机和车载消杀装备整机在典型应用现场安装（法兰（不限于）连接，系统整体功能正常展开，功能展开时间≤60秒，全系统通电自检通过率100%）；</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highlight w:val="none"/>
                <w:lang w:val="en-US" w:eastAsia="zh-CN"/>
              </w:rPr>
            </w:pPr>
            <w:r>
              <w:rPr>
                <w:rFonts w:hint="eastAsia" w:ascii="宋体" w:hAnsi="宋体" w:eastAsia="宋体" w:cs="宋体"/>
                <w:i w:val="0"/>
                <w:iCs w:val="0"/>
                <w:sz w:val="21"/>
                <w:szCs w:val="21"/>
                <w:highlight w:val="none"/>
                <w:lang w:val="en-US" w:eastAsia="zh-CN"/>
              </w:rPr>
              <w:t>4</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val="en-US" w:eastAsia="zh-CN" w:bidi="ar"/>
              </w:rPr>
            </w:pPr>
            <w:r>
              <w:rPr>
                <w:rFonts w:hint="eastAsia" w:ascii="宋体" w:hAnsi="宋体" w:eastAsia="宋体" w:cs="宋体"/>
                <w:i w:val="0"/>
                <w:iCs w:val="0"/>
                <w:kern w:val="0"/>
                <w:sz w:val="21"/>
                <w:szCs w:val="21"/>
                <w:lang w:bidi="ar"/>
              </w:rPr>
              <w:t>技术指标</w:t>
            </w:r>
            <w:r>
              <w:rPr>
                <w:rFonts w:hint="eastAsia" w:ascii="宋体" w:hAnsi="宋体" w:eastAsia="宋体" w:cs="宋体"/>
                <w:i w:val="0"/>
                <w:iCs w:val="0"/>
                <w:kern w:val="0"/>
                <w:sz w:val="21"/>
                <w:szCs w:val="21"/>
                <w:lang w:val="en-US" w:eastAsia="zh-CN"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themeColor="text1"/>
                <w:kern w:val="0"/>
                <w:sz w:val="21"/>
                <w:szCs w:val="21"/>
                <w:lang w:bidi="ar"/>
                <w14:textFill>
                  <w14:solidFill>
                    <w14:schemeClr w14:val="tx1"/>
                  </w14:solidFill>
                </w14:textFill>
              </w:rPr>
            </w:pPr>
            <w:r>
              <w:rPr>
                <w:rFonts w:hint="eastAsia" w:ascii="宋体" w:hAnsi="宋体" w:eastAsia="宋体" w:cs="宋体"/>
                <w:i w:val="0"/>
                <w:iCs w:val="0"/>
                <w:color w:val="000000" w:themeColor="text1"/>
                <w:kern w:val="0"/>
                <w:sz w:val="21"/>
                <w:szCs w:val="21"/>
                <w:lang w:bidi="ar"/>
                <w14:textFill>
                  <w14:solidFill>
                    <w14:schemeClr w14:val="tx1"/>
                  </w14:solidFill>
                </w14:textFill>
              </w:rPr>
              <w:t>试验平台管道采用&gt;2mm不锈钢材质，具有变径段，变径斜率宜≤15°管道尺寸规格至少满足：</w:t>
            </w:r>
            <w:r>
              <w:rPr>
                <w:rFonts w:hint="eastAsia" w:ascii="宋体" w:hAnsi="宋体" w:eastAsia="宋体" w:cs="宋体"/>
                <w:i w:val="0"/>
                <w:iCs w:val="0"/>
                <w:color w:val="auto"/>
                <w:kern w:val="0"/>
                <w:sz w:val="21"/>
                <w:szCs w:val="21"/>
                <w:highlight w:val="none"/>
                <w:lang w:bidi="ar"/>
              </w:rPr>
              <w:t>610*610 mm（方管）、500*500mm（方管）320*320mm（方管）、Φ320 mm（圆管）。</w:t>
            </w:r>
            <w:r>
              <w:rPr>
                <w:rFonts w:hint="eastAsia" w:ascii="宋体" w:hAnsi="宋体" w:eastAsia="宋体" w:cs="宋体"/>
                <w:i w:val="0"/>
                <w:iCs w:val="0"/>
                <w:color w:val="000000" w:themeColor="text1"/>
                <w:kern w:val="0"/>
                <w:sz w:val="21"/>
                <w:szCs w:val="21"/>
                <w:lang w:bidi="ar"/>
                <w14:textFill>
                  <w14:solidFill>
                    <w14:schemeClr w14:val="tx1"/>
                  </w14:solidFill>
                </w14:textFill>
              </w:rPr>
              <w:t>具备独立的上游气溶胶发生段、装置安全段和下游采样段；支持多类型气溶胶发生，包括微生物（大肠杆菌/白色葡萄球菌，浓度1×10⁴~1×10⁶ CFU/m³，具备高压灭菌器、培养箱、超净台、生物安全柜等设备用于微生物培养杀灭等）、A2尘（ISO 12103-1标准）、NaCl/KCl（质量中值直径0.3~10 μm，几何标准差≤1.5）；发生器流量范围5~100 L/min，波动率≤±2%，气溶胶均匀性测试（气溶胶浓度均匀性变异系数≤15%，）。</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highlight w:val="none"/>
                <w:lang w:val="en-US" w:eastAsia="zh-CN"/>
              </w:rPr>
            </w:pPr>
            <w:r>
              <w:rPr>
                <w:rFonts w:hint="eastAsia" w:ascii="宋体" w:hAnsi="宋体" w:eastAsia="宋体" w:cs="宋体"/>
                <w:i w:val="0"/>
                <w:iCs w:val="0"/>
                <w:sz w:val="21"/>
                <w:szCs w:val="21"/>
                <w:highlight w:val="none"/>
                <w:lang w:val="en-US" w:eastAsia="zh-CN"/>
              </w:rPr>
              <w:t>5</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val="en-US" w:eastAsia="zh-CN" w:bidi="ar"/>
              </w:rPr>
            </w:pPr>
            <w:r>
              <w:rPr>
                <w:rFonts w:hint="eastAsia" w:ascii="宋体" w:hAnsi="宋体" w:eastAsia="宋体" w:cs="宋体"/>
                <w:i w:val="0"/>
                <w:iCs w:val="0"/>
                <w:kern w:val="0"/>
                <w:sz w:val="21"/>
                <w:szCs w:val="21"/>
                <w:lang w:bidi="ar"/>
              </w:rPr>
              <w:t>技术指标</w:t>
            </w:r>
            <w:r>
              <w:rPr>
                <w:rFonts w:hint="eastAsia" w:ascii="宋体" w:hAnsi="宋体" w:eastAsia="宋体" w:cs="宋体"/>
                <w:i w:val="0"/>
                <w:iCs w:val="0"/>
                <w:kern w:val="0"/>
                <w:sz w:val="21"/>
                <w:szCs w:val="21"/>
                <w:lang w:val="en-US" w:eastAsia="zh-CN" w:bidi="ar"/>
              </w:rPr>
              <w:t>3</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themeColor="text1"/>
                <w:kern w:val="0"/>
                <w:sz w:val="21"/>
                <w:szCs w:val="21"/>
                <w:lang w:bidi="ar"/>
                <w14:textFill>
                  <w14:solidFill>
                    <w14:schemeClr w14:val="tx1"/>
                  </w14:solidFill>
                </w14:textFill>
              </w:rPr>
            </w:pPr>
            <w:r>
              <w:rPr>
                <w:rFonts w:hint="eastAsia" w:ascii="宋体" w:hAnsi="宋体" w:eastAsia="宋体" w:cs="宋体"/>
                <w:i w:val="0"/>
                <w:iCs w:val="0"/>
                <w:color w:val="000000" w:themeColor="text1"/>
                <w:kern w:val="0"/>
                <w:sz w:val="21"/>
                <w:szCs w:val="21"/>
                <w:lang w:bidi="ar"/>
                <w14:textFill>
                  <w14:solidFill>
                    <w14:schemeClr w14:val="tx1"/>
                  </w14:solidFill>
                </w14:textFill>
              </w:rPr>
              <w:t>下游段兼容Andersen六级采样器（流量28.3 L/min，级间切割粒径0.65~7.0 μm）、液体撞击式采样器（撞击流速12.5 L/min）、激光粒子计数器（粒径分辨率0.3~10μm，计数效率±10%）；</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highlight w:val="none"/>
                <w:lang w:val="en-US" w:eastAsia="zh-CN"/>
              </w:rPr>
            </w:pPr>
            <w:r>
              <w:rPr>
                <w:rFonts w:hint="eastAsia" w:ascii="宋体" w:hAnsi="宋体" w:eastAsia="宋体" w:cs="宋体"/>
                <w:i w:val="0"/>
                <w:iCs w:val="0"/>
                <w:sz w:val="21"/>
                <w:szCs w:val="21"/>
                <w:highlight w:val="none"/>
                <w:lang w:val="en-US" w:eastAsia="zh-CN"/>
              </w:rPr>
              <w:t>6</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val="en-US" w:eastAsia="zh-CN" w:bidi="ar"/>
              </w:rPr>
            </w:pPr>
            <w:r>
              <w:rPr>
                <w:rFonts w:hint="eastAsia" w:ascii="宋体" w:hAnsi="宋体" w:eastAsia="宋体" w:cs="宋体"/>
                <w:i w:val="0"/>
                <w:iCs w:val="0"/>
                <w:kern w:val="0"/>
                <w:sz w:val="21"/>
                <w:szCs w:val="21"/>
                <w:lang w:bidi="ar"/>
              </w:rPr>
              <w:t>技术指标</w:t>
            </w:r>
            <w:r>
              <w:rPr>
                <w:rFonts w:hint="eastAsia" w:ascii="宋体" w:hAnsi="宋体" w:eastAsia="宋体" w:cs="宋体"/>
                <w:i w:val="0"/>
                <w:iCs w:val="0"/>
                <w:kern w:val="0"/>
                <w:sz w:val="21"/>
                <w:szCs w:val="21"/>
                <w:lang w:val="en-US" w:eastAsia="zh-CN" w:bidi="ar"/>
              </w:rPr>
              <w:t>4</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themeColor="text1"/>
                <w:kern w:val="0"/>
                <w:sz w:val="21"/>
                <w:szCs w:val="21"/>
                <w:lang w:bidi="ar"/>
                <w14:textFill>
                  <w14:solidFill>
                    <w14:schemeClr w14:val="tx1"/>
                  </w14:solidFill>
                </w14:textFill>
              </w:rPr>
            </w:pPr>
            <w:r>
              <w:rPr>
                <w:rFonts w:hint="eastAsia" w:ascii="宋体" w:hAnsi="宋体" w:eastAsia="宋体" w:cs="宋体"/>
                <w:i w:val="0"/>
                <w:iCs w:val="0"/>
                <w:color w:val="000000" w:themeColor="text1"/>
                <w:kern w:val="0"/>
                <w:sz w:val="21"/>
                <w:szCs w:val="21"/>
                <w:lang w:bidi="ar"/>
                <w14:textFill>
                  <w14:solidFill>
                    <w14:schemeClr w14:val="tx1"/>
                  </w14:solidFill>
                </w14:textFill>
              </w:rPr>
              <w:t>采样段流速需与发生段匹配，偏差≤10%，采样时间可调（10s~60 min）；</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highlight w:val="none"/>
                <w:lang w:val="en-US" w:eastAsia="zh-CN"/>
              </w:rPr>
            </w:pPr>
            <w:r>
              <w:rPr>
                <w:rFonts w:hint="eastAsia" w:ascii="宋体" w:hAnsi="宋体" w:eastAsia="宋体" w:cs="宋体"/>
                <w:i w:val="0"/>
                <w:iCs w:val="0"/>
                <w:sz w:val="21"/>
                <w:szCs w:val="21"/>
                <w:highlight w:val="none"/>
                <w:lang w:val="en-US" w:eastAsia="zh-CN"/>
              </w:rPr>
              <w:t>7</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val="en-US" w:eastAsia="zh-CN" w:bidi="ar"/>
              </w:rPr>
            </w:pPr>
            <w:r>
              <w:rPr>
                <w:rFonts w:hint="eastAsia" w:ascii="宋体" w:hAnsi="宋体" w:eastAsia="宋体" w:cs="宋体"/>
                <w:i w:val="0"/>
                <w:iCs w:val="0"/>
                <w:kern w:val="0"/>
                <w:sz w:val="21"/>
                <w:szCs w:val="21"/>
                <w:lang w:bidi="ar"/>
              </w:rPr>
              <w:t>技术指标</w:t>
            </w:r>
            <w:r>
              <w:rPr>
                <w:rFonts w:hint="eastAsia" w:ascii="宋体" w:hAnsi="宋体" w:eastAsia="宋体" w:cs="宋体"/>
                <w:i w:val="0"/>
                <w:iCs w:val="0"/>
                <w:kern w:val="0"/>
                <w:sz w:val="21"/>
                <w:szCs w:val="21"/>
                <w:lang w:val="en-US" w:eastAsia="zh-CN" w:bidi="ar"/>
              </w:rPr>
              <w:t>5</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themeColor="text1"/>
                <w:kern w:val="0"/>
                <w:sz w:val="21"/>
                <w:szCs w:val="21"/>
                <w:lang w:bidi="ar"/>
                <w14:textFill>
                  <w14:solidFill>
                    <w14:schemeClr w14:val="tx1"/>
                  </w14:solidFill>
                </w14:textFill>
              </w:rPr>
            </w:pPr>
            <w:r>
              <w:rPr>
                <w:rFonts w:hint="eastAsia" w:ascii="宋体" w:hAnsi="宋体" w:eastAsia="宋体" w:cs="宋体"/>
                <w:i w:val="0"/>
                <w:iCs w:val="0"/>
                <w:color w:val="000000" w:themeColor="text1"/>
                <w:kern w:val="0"/>
                <w:sz w:val="21"/>
                <w:szCs w:val="21"/>
                <w:lang w:bidi="ar"/>
                <w14:textFill>
                  <w14:solidFill>
                    <w14:schemeClr w14:val="tx1"/>
                  </w14:solidFill>
                </w14:textFill>
              </w:rPr>
              <w:t>下游出口配备HEPA过滤器（颗粒过滤效率≥99.97%），避免污染物对环境影响。</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lang w:val="en-US" w:eastAsia="zh-CN"/>
              </w:rPr>
            </w:pPr>
            <w:r>
              <w:rPr>
                <w:rFonts w:hint="eastAsia" w:ascii="宋体" w:hAnsi="宋体" w:eastAsia="宋体" w:cs="宋体"/>
                <w:i w:val="0"/>
                <w:iCs w:val="0"/>
                <w:sz w:val="21"/>
                <w:szCs w:val="21"/>
                <w:lang w:val="en-US" w:eastAsia="zh-CN"/>
              </w:rPr>
              <w:t>8</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val="en-US" w:eastAsia="zh-CN" w:bidi="ar"/>
              </w:rPr>
            </w:pPr>
            <w:r>
              <w:rPr>
                <w:rFonts w:hint="eastAsia" w:ascii="宋体" w:hAnsi="宋体" w:eastAsia="宋体" w:cs="宋体"/>
                <w:i w:val="0"/>
                <w:iCs w:val="0"/>
                <w:kern w:val="0"/>
                <w:sz w:val="21"/>
                <w:szCs w:val="21"/>
                <w:lang w:bidi="ar"/>
              </w:rPr>
              <w:t>技术指标</w:t>
            </w:r>
            <w:r>
              <w:rPr>
                <w:rFonts w:hint="eastAsia" w:ascii="宋体" w:hAnsi="宋体" w:eastAsia="宋体" w:cs="宋体"/>
                <w:i w:val="0"/>
                <w:iCs w:val="0"/>
                <w:kern w:val="0"/>
                <w:sz w:val="21"/>
                <w:szCs w:val="21"/>
                <w:lang w:val="en-US" w:eastAsia="zh-CN" w:bidi="ar"/>
              </w:rPr>
              <w:t>6</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FF0000"/>
                <w:sz w:val="21"/>
                <w:szCs w:val="21"/>
              </w:rPr>
            </w:pPr>
            <w:r>
              <w:rPr>
                <w:rFonts w:hint="eastAsia" w:ascii="宋体" w:hAnsi="宋体" w:eastAsia="宋体" w:cs="宋体"/>
                <w:i w:val="0"/>
                <w:iCs w:val="0"/>
                <w:color w:val="000000" w:themeColor="text1"/>
                <w:kern w:val="0"/>
                <w:sz w:val="21"/>
                <w:szCs w:val="21"/>
                <w:lang w:bidi="ar"/>
                <w14:textFill>
                  <w14:solidFill>
                    <w14:schemeClr w14:val="tx1"/>
                  </w14:solidFill>
                </w14:textFill>
              </w:rPr>
              <w:t>管道消杀装备整机在典型应用现场联调联试，试验段风速满足1- 10±0.5 m/s，断面风速均匀性要求：风速均匀性变异系数≤10%（GB/T14295-2019）；</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lang w:val="en-US" w:eastAsia="zh-CN"/>
              </w:rPr>
            </w:pPr>
            <w:r>
              <w:rPr>
                <w:rFonts w:hint="eastAsia" w:ascii="宋体" w:hAnsi="宋体" w:eastAsia="宋体" w:cs="宋体"/>
                <w:i w:val="0"/>
                <w:iCs w:val="0"/>
                <w:sz w:val="21"/>
                <w:szCs w:val="21"/>
                <w:lang w:val="en-US" w:eastAsia="zh-CN"/>
              </w:rPr>
              <w:t>9</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val="en-US" w:eastAsia="zh-CN" w:bidi="ar"/>
              </w:rPr>
            </w:pPr>
            <w:r>
              <w:rPr>
                <w:rFonts w:hint="eastAsia" w:ascii="宋体" w:hAnsi="宋体" w:eastAsia="宋体" w:cs="宋体"/>
                <w:i w:val="0"/>
                <w:iCs w:val="0"/>
                <w:kern w:val="0"/>
                <w:sz w:val="21"/>
                <w:szCs w:val="21"/>
                <w:lang w:bidi="ar"/>
              </w:rPr>
              <w:t>技术指标</w:t>
            </w:r>
            <w:r>
              <w:rPr>
                <w:rFonts w:hint="eastAsia" w:ascii="宋体" w:hAnsi="宋体" w:eastAsia="宋体" w:cs="宋体"/>
                <w:i w:val="0"/>
                <w:iCs w:val="0"/>
                <w:kern w:val="0"/>
                <w:sz w:val="21"/>
                <w:szCs w:val="21"/>
                <w:lang w:val="en-US" w:eastAsia="zh-CN" w:bidi="ar"/>
              </w:rPr>
              <w:t>7</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themeColor="text1"/>
                <w:kern w:val="0"/>
                <w:sz w:val="21"/>
                <w:szCs w:val="21"/>
                <w:lang w:bidi="ar"/>
                <w14:textFill>
                  <w14:solidFill>
                    <w14:schemeClr w14:val="tx1"/>
                  </w14:solidFill>
                </w14:textFill>
              </w:rPr>
            </w:pPr>
            <w:r>
              <w:rPr>
                <w:rFonts w:hint="eastAsia" w:ascii="宋体" w:hAnsi="宋体" w:eastAsia="宋体" w:cs="宋体"/>
                <w:i w:val="0"/>
                <w:iCs w:val="0"/>
                <w:color w:val="000000" w:themeColor="text1"/>
                <w:kern w:val="0"/>
                <w:sz w:val="21"/>
                <w:szCs w:val="21"/>
                <w:lang w:bidi="ar"/>
                <w14:textFill>
                  <w14:solidFill>
                    <w14:schemeClr w14:val="tx1"/>
                  </w14:solidFill>
                </w14:textFill>
              </w:rPr>
              <w:t>管道内安装有风速混匀装置（结构为304不锈钢多孔板（开孔率满足要求）或静态混合器（单元数≥3），压损≤50 Pa，安装位置距消杀段入口≥3倍管径，确保流场充分发展（CFD模拟验证湍流强度≤10%））；</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lang w:val="en-US" w:eastAsia="zh-CN"/>
              </w:rPr>
            </w:pPr>
            <w:r>
              <w:rPr>
                <w:rFonts w:hint="eastAsia" w:ascii="宋体" w:hAnsi="宋体" w:eastAsia="宋体" w:cs="宋体"/>
                <w:i w:val="0"/>
                <w:iCs w:val="0"/>
                <w:sz w:val="21"/>
                <w:szCs w:val="21"/>
                <w:lang w:val="en-US" w:eastAsia="zh-CN"/>
              </w:rPr>
              <w:t>10</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val="en-US" w:eastAsia="zh-CN" w:bidi="ar"/>
              </w:rPr>
            </w:pPr>
            <w:r>
              <w:rPr>
                <w:rFonts w:hint="eastAsia" w:ascii="宋体" w:hAnsi="宋体" w:eastAsia="宋体" w:cs="宋体"/>
                <w:i w:val="0"/>
                <w:iCs w:val="0"/>
                <w:kern w:val="0"/>
                <w:sz w:val="21"/>
                <w:szCs w:val="21"/>
                <w:lang w:bidi="ar"/>
              </w:rPr>
              <w:t>技术指标</w:t>
            </w:r>
            <w:r>
              <w:rPr>
                <w:rFonts w:hint="eastAsia" w:ascii="宋体" w:hAnsi="宋体" w:eastAsia="宋体" w:cs="宋体"/>
                <w:i w:val="0"/>
                <w:iCs w:val="0"/>
                <w:kern w:val="0"/>
                <w:sz w:val="21"/>
                <w:szCs w:val="21"/>
                <w:lang w:val="en-US" w:eastAsia="zh-CN" w:bidi="ar"/>
              </w:rPr>
              <w:t>8</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themeColor="text1"/>
                <w:kern w:val="0"/>
                <w:sz w:val="21"/>
                <w:szCs w:val="21"/>
                <w:lang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lang w:bidi="ar"/>
                <w14:textFill>
                  <w14:solidFill>
                    <w14:schemeClr w14:val="tx1"/>
                  </w14:solidFill>
                </w14:textFill>
              </w:rPr>
              <w:t>设备整机额定功率 ≤240 W（AC 220V，50 Hz），符合GB 4706.1-2005家用电器安全标准</w:t>
            </w:r>
            <w:r>
              <w:rPr>
                <w:rFonts w:hint="eastAsia" w:ascii="宋体" w:hAnsi="宋体" w:eastAsia="宋体" w:cs="宋体"/>
                <w:i w:val="0"/>
                <w:iCs w:val="0"/>
                <w:color w:val="000000" w:themeColor="text1"/>
                <w:kern w:val="0"/>
                <w:sz w:val="21"/>
                <w:szCs w:val="21"/>
                <w:lang w:eastAsia="zh-CN" w:bidi="ar"/>
                <w14:textFill>
                  <w14:solidFill>
                    <w14:schemeClr w14:val="tx1"/>
                  </w14:solidFill>
                </w14:textFill>
              </w:rPr>
              <w:t>，</w:t>
            </w:r>
            <w:r>
              <w:rPr>
                <w:rFonts w:hint="eastAsia" w:ascii="宋体" w:hAnsi="宋体" w:eastAsia="宋体" w:cs="宋体"/>
                <w:i w:val="0"/>
                <w:iCs w:val="0"/>
                <w:color w:val="000000" w:themeColor="text1"/>
                <w:kern w:val="0"/>
                <w:sz w:val="21"/>
                <w:szCs w:val="21"/>
                <w:lang w:bidi="ar"/>
                <w14:textFill>
                  <w14:solidFill>
                    <w14:schemeClr w14:val="tx1"/>
                  </w14:solidFill>
                </w14:textFill>
              </w:rPr>
              <w:t>供电接口支持与风机联动，</w:t>
            </w:r>
            <w:r>
              <w:rPr>
                <w:rFonts w:hint="eastAsia" w:ascii="宋体" w:hAnsi="宋体" w:eastAsia="宋体" w:cs="宋体"/>
                <w:i w:val="0"/>
                <w:iCs w:val="0"/>
                <w:color w:val="000000" w:themeColor="text1"/>
                <w:kern w:val="0"/>
                <w:sz w:val="21"/>
                <w:szCs w:val="21"/>
                <w:highlight w:val="none"/>
                <w:lang w:bidi="ar"/>
                <w14:textFill>
                  <w14:solidFill>
                    <w14:schemeClr w14:val="tx1"/>
                  </w14:solidFill>
                </w14:textFill>
              </w:rPr>
              <w:t>响应风机</w:t>
            </w:r>
            <w:r>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t>启动</w:t>
            </w:r>
            <w:r>
              <w:rPr>
                <w:rFonts w:hint="eastAsia" w:ascii="宋体" w:hAnsi="宋体" w:eastAsia="宋体" w:cs="宋体"/>
                <w:i w:val="0"/>
                <w:iCs w:val="0"/>
                <w:color w:val="000000" w:themeColor="text1"/>
                <w:kern w:val="0"/>
                <w:sz w:val="21"/>
                <w:szCs w:val="21"/>
                <w:highlight w:val="none"/>
                <w:lang w:bidi="ar"/>
                <w14:textFill>
                  <w14:solidFill>
                    <w14:schemeClr w14:val="tx1"/>
                  </w14:solidFill>
                </w14:textFill>
              </w:rPr>
              <w:t>时间≤1.5秒，消杀模块需随风机启停同步动作（延迟≤1秒）。</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lang w:val="en-US" w:eastAsia="zh-CN"/>
              </w:rPr>
            </w:pPr>
            <w:r>
              <w:rPr>
                <w:rFonts w:hint="eastAsia" w:ascii="宋体" w:hAnsi="宋体" w:eastAsia="宋体" w:cs="宋体"/>
                <w:i w:val="0"/>
                <w:iCs w:val="0"/>
                <w:sz w:val="21"/>
                <w:szCs w:val="21"/>
                <w:lang w:val="en-US" w:eastAsia="zh-CN"/>
              </w:rPr>
              <w:t>11</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val="en-US" w:eastAsia="zh-CN" w:bidi="ar"/>
              </w:rPr>
            </w:pPr>
            <w:r>
              <w:rPr>
                <w:rFonts w:hint="eastAsia" w:ascii="宋体" w:hAnsi="宋体" w:eastAsia="宋体" w:cs="宋体"/>
                <w:i w:val="0"/>
                <w:iCs w:val="0"/>
                <w:kern w:val="0"/>
                <w:sz w:val="21"/>
                <w:szCs w:val="21"/>
                <w:highlight w:val="none"/>
                <w:lang w:bidi="ar"/>
              </w:rPr>
              <w:t>技术指标</w:t>
            </w:r>
            <w:r>
              <w:rPr>
                <w:rFonts w:hint="eastAsia" w:ascii="宋体" w:hAnsi="宋体" w:eastAsia="宋体" w:cs="宋体"/>
                <w:i w:val="0"/>
                <w:iCs w:val="0"/>
                <w:kern w:val="0"/>
                <w:sz w:val="21"/>
                <w:szCs w:val="21"/>
                <w:highlight w:val="none"/>
                <w:lang w:val="en-US" w:eastAsia="zh-CN" w:bidi="ar"/>
              </w:rPr>
              <w:t>9</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sz w:val="21"/>
                <w:szCs w:val="21"/>
              </w:rPr>
            </w:pPr>
            <w:r>
              <w:rPr>
                <w:rFonts w:hint="eastAsia" w:ascii="宋体" w:hAnsi="宋体" w:eastAsia="宋体" w:cs="宋体"/>
                <w:i w:val="0"/>
                <w:iCs w:val="0"/>
                <w:color w:val="000000" w:themeColor="text1"/>
                <w:kern w:val="0"/>
                <w:sz w:val="21"/>
                <w:szCs w:val="21"/>
                <w:lang w:bidi="ar"/>
                <w14:textFill>
                  <w14:solidFill>
                    <w14:schemeClr w14:val="tx1"/>
                  </w14:solidFill>
                </w14:textFill>
              </w:rPr>
              <w:t>车载消杀装备整机在典型应用现场联调联试（风量处理能力：最小850±25 m³/h，最大到4000±25 m³/h，满足装备风量要求，风量稳定）；</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lang w:val="en-US" w:eastAsia="zh-CN"/>
              </w:rPr>
            </w:pPr>
            <w:r>
              <w:rPr>
                <w:rFonts w:hint="eastAsia" w:ascii="宋体" w:hAnsi="宋体" w:eastAsia="宋体" w:cs="宋体"/>
                <w:i w:val="0"/>
                <w:iCs w:val="0"/>
                <w:sz w:val="21"/>
                <w:szCs w:val="21"/>
                <w:lang w:val="en-US" w:eastAsia="zh-CN"/>
              </w:rPr>
              <w:t>12</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val="en-US" w:eastAsia="zh-CN" w:bidi="ar"/>
              </w:rPr>
            </w:pPr>
            <w:r>
              <w:rPr>
                <w:rFonts w:hint="eastAsia" w:ascii="宋体" w:hAnsi="宋体" w:eastAsia="宋体" w:cs="宋体"/>
                <w:i w:val="0"/>
                <w:iCs w:val="0"/>
                <w:kern w:val="0"/>
                <w:sz w:val="21"/>
                <w:szCs w:val="21"/>
                <w:lang w:bidi="ar"/>
              </w:rPr>
              <w:t>技术指标1</w:t>
            </w:r>
            <w:r>
              <w:rPr>
                <w:rFonts w:hint="eastAsia" w:ascii="宋体" w:hAnsi="宋体" w:eastAsia="宋体" w:cs="宋体"/>
                <w:i w:val="0"/>
                <w:iCs w:val="0"/>
                <w:kern w:val="0"/>
                <w:sz w:val="21"/>
                <w:szCs w:val="21"/>
                <w:lang w:val="en-US" w:eastAsia="zh-CN"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themeColor="text1"/>
                <w:kern w:val="0"/>
                <w:sz w:val="21"/>
                <w:szCs w:val="21"/>
                <w:lang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lang w:bidi="ar"/>
                <w14:textFill>
                  <w14:solidFill>
                    <w14:schemeClr w14:val="tx1"/>
                  </w14:solidFill>
                </w14:textFill>
              </w:rPr>
              <w:t>设备整机用电功率，不大于240 W（AC 220V，50 Hz），符合车载电器安全标准，安装设备车载通用供电插口</w:t>
            </w:r>
            <w:r>
              <w:rPr>
                <w:rFonts w:hint="eastAsia" w:ascii="宋体" w:hAnsi="宋体" w:eastAsia="宋体" w:cs="宋体"/>
                <w:i w:val="0"/>
                <w:iCs w:val="0"/>
                <w:color w:val="000000" w:themeColor="text1"/>
                <w:kern w:val="0"/>
                <w:sz w:val="21"/>
                <w:szCs w:val="21"/>
                <w:lang w:eastAsia="zh-CN" w:bidi="ar"/>
                <w14:textFill>
                  <w14:solidFill>
                    <w14:schemeClr w14:val="tx1"/>
                  </w14:solidFill>
                </w14:textFill>
              </w:rPr>
              <w:t>，</w:t>
            </w:r>
            <w:r>
              <w:rPr>
                <w:rFonts w:hint="eastAsia" w:ascii="宋体" w:hAnsi="宋体" w:eastAsia="宋体" w:cs="宋体"/>
                <w:i w:val="0"/>
                <w:iCs w:val="0"/>
                <w:color w:val="000000" w:themeColor="text1"/>
                <w:kern w:val="0"/>
                <w:sz w:val="21"/>
                <w:szCs w:val="21"/>
                <w:lang w:val="en-US" w:eastAsia="zh-CN" w:bidi="ar"/>
                <w14:textFill>
                  <w14:solidFill>
                    <w14:schemeClr w14:val="tx1"/>
                  </w14:solidFill>
                </w14:textFill>
              </w:rPr>
              <w:t>响应</w:t>
            </w:r>
            <w:r>
              <w:rPr>
                <w:rFonts w:hint="eastAsia" w:ascii="宋体" w:hAnsi="宋体" w:eastAsia="宋体" w:cs="宋体"/>
                <w:i w:val="0"/>
                <w:iCs w:val="0"/>
                <w:color w:val="auto"/>
                <w:kern w:val="0"/>
                <w:sz w:val="21"/>
                <w:szCs w:val="21"/>
                <w:highlight w:val="none"/>
                <w:lang w:bidi="ar"/>
              </w:rPr>
              <w:t>风机</w:t>
            </w:r>
            <w:r>
              <w:rPr>
                <w:rFonts w:hint="eastAsia" w:ascii="宋体" w:hAnsi="宋体" w:eastAsia="宋体" w:cs="宋体"/>
                <w:i w:val="0"/>
                <w:iCs w:val="0"/>
                <w:color w:val="auto"/>
                <w:kern w:val="0"/>
                <w:sz w:val="21"/>
                <w:szCs w:val="21"/>
                <w:highlight w:val="none"/>
                <w:lang w:val="en-US" w:eastAsia="zh-CN" w:bidi="ar"/>
              </w:rPr>
              <w:t>启动</w:t>
            </w:r>
            <w:r>
              <w:rPr>
                <w:rFonts w:hint="eastAsia" w:ascii="宋体" w:hAnsi="宋体" w:eastAsia="宋体" w:cs="宋体"/>
                <w:i w:val="0"/>
                <w:iCs w:val="0"/>
                <w:color w:val="auto"/>
                <w:kern w:val="0"/>
                <w:sz w:val="21"/>
                <w:szCs w:val="21"/>
                <w:highlight w:val="none"/>
                <w:lang w:bidi="ar"/>
              </w:rPr>
              <w:t>时间≤1.5秒，消杀模块需随风机启停同步动作（延迟≤1秒）</w:t>
            </w:r>
            <w:r>
              <w:rPr>
                <w:rFonts w:hint="eastAsia" w:ascii="宋体" w:hAnsi="宋体" w:eastAsia="宋体" w:cs="宋体"/>
                <w:i w:val="0"/>
                <w:iCs w:val="0"/>
                <w:color w:val="000000" w:themeColor="text1"/>
                <w:kern w:val="0"/>
                <w:sz w:val="21"/>
                <w:szCs w:val="21"/>
                <w:lang w:bidi="ar"/>
                <w14:textFill>
                  <w14:solidFill>
                    <w14:schemeClr w14:val="tx1"/>
                  </w14:solidFill>
                </w14:textFill>
              </w:rPr>
              <w:t>。</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499"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val="en-US" w:eastAsia="zh-CN" w:bidi="ar"/>
              </w:rPr>
            </w:pPr>
            <w:r>
              <w:rPr>
                <w:rFonts w:hint="eastAsia" w:ascii="宋体" w:hAnsi="宋体" w:eastAsia="宋体" w:cs="宋体"/>
                <w:i w:val="0"/>
                <w:iCs w:val="0"/>
                <w:kern w:val="0"/>
                <w:sz w:val="21"/>
                <w:szCs w:val="21"/>
                <w:lang w:val="en-US" w:eastAsia="zh-CN" w:bidi="ar"/>
              </w:rPr>
              <w:t>13</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val="en-US" w:eastAsia="zh-CN" w:bidi="ar"/>
              </w:rPr>
            </w:pPr>
            <w:r>
              <w:rPr>
                <w:rFonts w:hint="eastAsia" w:ascii="宋体" w:hAnsi="宋体" w:eastAsia="宋体" w:cs="宋体"/>
                <w:i w:val="0"/>
                <w:iCs w:val="0"/>
                <w:kern w:val="0"/>
                <w:sz w:val="21"/>
                <w:szCs w:val="21"/>
                <w:lang w:bidi="ar"/>
              </w:rPr>
              <w:t>技术指标</w:t>
            </w:r>
            <w:r>
              <w:rPr>
                <w:rFonts w:hint="eastAsia" w:ascii="宋体" w:hAnsi="宋体" w:eastAsia="宋体" w:cs="宋体"/>
                <w:i w:val="0"/>
                <w:iCs w:val="0"/>
                <w:kern w:val="0"/>
                <w:sz w:val="21"/>
                <w:szCs w:val="21"/>
                <w:lang w:val="en-US" w:eastAsia="zh-CN" w:bidi="ar"/>
              </w:rPr>
              <w:t>13</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kern w:val="0"/>
                <w:sz w:val="21"/>
                <w:szCs w:val="21"/>
                <w:lang w:eastAsia="zh-CN" w:bidi="ar"/>
              </w:rPr>
            </w:pPr>
            <w:r>
              <w:rPr>
                <w:rFonts w:hint="eastAsia" w:ascii="宋体" w:hAnsi="宋体" w:eastAsia="宋体" w:cs="宋体"/>
                <w:i w:val="0"/>
                <w:iCs w:val="0"/>
                <w:color w:val="000000" w:themeColor="text1"/>
                <w:kern w:val="0"/>
                <w:sz w:val="21"/>
                <w:szCs w:val="21"/>
                <w:lang w:bidi="ar"/>
                <w14:textFill>
                  <w14:solidFill>
                    <w14:schemeClr w14:val="tx1"/>
                  </w14:solidFill>
                </w14:textFill>
              </w:rPr>
              <w:t>多种空调管道典型应用环境下管道消杀装备整机的使用性能仿真模拟</w:t>
            </w:r>
            <w:r>
              <w:rPr>
                <w:rFonts w:hint="eastAsia" w:ascii="宋体" w:hAnsi="宋体" w:eastAsia="宋体" w:cs="宋体"/>
                <w:i w:val="0"/>
                <w:iCs w:val="0"/>
                <w:color w:val="000000" w:themeColor="text1"/>
                <w:kern w:val="0"/>
                <w:sz w:val="21"/>
                <w:szCs w:val="21"/>
                <w:lang w:eastAsia="zh-CN" w:bidi="ar"/>
                <w14:textFill>
                  <w14:solidFill>
                    <w14:schemeClr w14:val="tx1"/>
                  </w14:solidFill>
                </w14:textFill>
              </w:rPr>
              <w:t>。</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499"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val="en-US" w:eastAsia="zh-CN" w:bidi="ar"/>
              </w:rPr>
            </w:pPr>
            <w:r>
              <w:rPr>
                <w:rFonts w:hint="eastAsia" w:ascii="宋体" w:hAnsi="宋体" w:eastAsia="宋体" w:cs="宋体"/>
                <w:i w:val="0"/>
                <w:iCs w:val="0"/>
                <w:kern w:val="0"/>
                <w:sz w:val="21"/>
                <w:szCs w:val="21"/>
                <w:lang w:val="en-US" w:eastAsia="zh-CN" w:bidi="ar"/>
              </w:rPr>
              <w:t>14</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val="en-US" w:eastAsia="zh-CN" w:bidi="ar"/>
              </w:rPr>
            </w:pPr>
            <w:r>
              <w:rPr>
                <w:rFonts w:hint="eastAsia" w:ascii="宋体" w:hAnsi="宋体" w:eastAsia="宋体" w:cs="宋体"/>
                <w:i w:val="0"/>
                <w:iCs w:val="0"/>
                <w:kern w:val="0"/>
                <w:sz w:val="21"/>
                <w:szCs w:val="21"/>
                <w:lang w:bidi="ar"/>
              </w:rPr>
              <w:t>技术指标1</w:t>
            </w:r>
            <w:r>
              <w:rPr>
                <w:rFonts w:hint="eastAsia" w:ascii="宋体" w:hAnsi="宋体" w:eastAsia="宋体" w:cs="宋体"/>
                <w:i w:val="0"/>
                <w:iCs w:val="0"/>
                <w:kern w:val="0"/>
                <w:sz w:val="21"/>
                <w:szCs w:val="21"/>
                <w:lang w:val="en-US" w:eastAsia="zh-CN" w:bidi="ar"/>
              </w:rPr>
              <w:t>4</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themeColor="text1"/>
                <w:kern w:val="0"/>
                <w:sz w:val="21"/>
                <w:szCs w:val="21"/>
                <w:lang w:bidi="ar"/>
                <w14:textFill>
                  <w14:solidFill>
                    <w14:schemeClr w14:val="tx1"/>
                  </w14:solidFill>
                </w14:textFill>
              </w:rPr>
            </w:pPr>
            <w:r>
              <w:rPr>
                <w:rFonts w:hint="eastAsia" w:ascii="宋体" w:hAnsi="宋体" w:eastAsia="宋体" w:cs="宋体"/>
                <w:i w:val="0"/>
                <w:iCs w:val="0"/>
                <w:color w:val="000000" w:themeColor="text1"/>
                <w:kern w:val="0"/>
                <w:sz w:val="21"/>
                <w:szCs w:val="21"/>
                <w:lang w:bidi="ar"/>
                <w14:textFill>
                  <w14:solidFill>
                    <w14:schemeClr w14:val="tx1"/>
                  </w14:solidFill>
                </w14:textFill>
              </w:rPr>
              <w:t>模拟工况速度满足空调主管（5.0 m/s）和支管（3.0 m/s）风速要求；数值模拟不少于10工况的使用性能；</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499"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val="en-US" w:eastAsia="zh-CN" w:bidi="ar"/>
              </w:rPr>
            </w:pPr>
            <w:r>
              <w:rPr>
                <w:rFonts w:hint="eastAsia" w:ascii="宋体" w:hAnsi="宋体" w:eastAsia="宋体" w:cs="宋体"/>
                <w:i w:val="0"/>
                <w:iCs w:val="0"/>
                <w:kern w:val="0"/>
                <w:sz w:val="21"/>
                <w:szCs w:val="21"/>
                <w:lang w:val="en-US" w:eastAsia="zh-CN" w:bidi="ar"/>
              </w:rPr>
              <w:t>15</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val="en-US" w:eastAsia="zh-CN" w:bidi="ar"/>
              </w:rPr>
            </w:pPr>
            <w:r>
              <w:rPr>
                <w:rFonts w:hint="eastAsia" w:ascii="宋体" w:hAnsi="宋体" w:eastAsia="宋体" w:cs="宋体"/>
                <w:i w:val="0"/>
                <w:iCs w:val="0"/>
                <w:kern w:val="0"/>
                <w:sz w:val="21"/>
                <w:szCs w:val="21"/>
                <w:lang w:bidi="ar"/>
              </w:rPr>
              <w:t>技术指标1</w:t>
            </w:r>
            <w:r>
              <w:rPr>
                <w:rFonts w:hint="eastAsia" w:ascii="宋体" w:hAnsi="宋体" w:eastAsia="宋体" w:cs="宋体"/>
                <w:i w:val="0"/>
                <w:iCs w:val="0"/>
                <w:kern w:val="0"/>
                <w:sz w:val="21"/>
                <w:szCs w:val="21"/>
                <w:lang w:val="en-US" w:eastAsia="zh-CN" w:bidi="ar"/>
              </w:rPr>
              <w:t>5</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themeColor="text1"/>
                <w:kern w:val="0"/>
                <w:sz w:val="21"/>
                <w:szCs w:val="21"/>
                <w:lang w:bidi="ar"/>
                <w14:textFill>
                  <w14:solidFill>
                    <w14:schemeClr w14:val="tx1"/>
                  </w14:solidFill>
                </w14:textFill>
              </w:rPr>
            </w:pPr>
            <w:r>
              <w:rPr>
                <w:rFonts w:hint="eastAsia" w:ascii="宋体" w:hAnsi="宋体" w:eastAsia="宋体" w:cs="宋体"/>
                <w:i w:val="0"/>
                <w:iCs w:val="0"/>
                <w:color w:val="000000" w:themeColor="text1"/>
                <w:kern w:val="0"/>
                <w:sz w:val="21"/>
                <w:szCs w:val="21"/>
                <w:lang w:bidi="ar"/>
                <w14:textFill>
                  <w14:solidFill>
                    <w14:schemeClr w14:val="tx1"/>
                  </w14:solidFill>
                </w14:textFill>
              </w:rPr>
              <w:t>提供管道内可解释说明的典型垂直截面或平行截面的速度场和浓度场结果（提供不限于云图及矢量图），依据需要提供网格划分、网格独立性验证、边界条件设置、模型选取等文件或截图。</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lang w:val="en-US" w:eastAsia="zh-CN"/>
              </w:rPr>
            </w:pPr>
            <w:r>
              <w:rPr>
                <w:rFonts w:hint="eastAsia" w:ascii="宋体" w:hAnsi="宋体" w:eastAsia="宋体" w:cs="宋体"/>
                <w:i w:val="0"/>
                <w:iCs w:val="0"/>
                <w:sz w:val="21"/>
                <w:szCs w:val="21"/>
                <w:lang w:val="en-US" w:eastAsia="zh-CN"/>
              </w:rPr>
              <w:t>16</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配置名称</w:t>
            </w:r>
            <w:r>
              <w:rPr>
                <w:rFonts w:hint="eastAsia" w:ascii="宋体" w:hAnsi="宋体" w:eastAsia="宋体" w:cs="宋体"/>
                <w:i w:val="0"/>
                <w:iCs w:val="0"/>
                <w:kern w:val="0"/>
                <w:sz w:val="21"/>
                <w:szCs w:val="21"/>
                <w:lang w:val="en-US" w:eastAsia="zh-CN" w:bidi="ar"/>
              </w:rPr>
              <w:t>1</w:t>
            </w:r>
            <w:r>
              <w:rPr>
                <w:rFonts w:hint="eastAsia" w:ascii="宋体" w:hAnsi="宋体" w:eastAsia="宋体" w:cs="宋体"/>
                <w:i w:val="0"/>
                <w:iCs w:val="0"/>
                <w:kern w:val="0"/>
                <w:sz w:val="21"/>
                <w:szCs w:val="21"/>
                <w:lang w:bidi="ar"/>
              </w:rPr>
              <w:br w:type="textWrapping"/>
            </w:r>
            <w:r>
              <w:rPr>
                <w:rFonts w:hint="eastAsia" w:ascii="宋体" w:hAnsi="宋体" w:eastAsia="宋体" w:cs="宋体"/>
                <w:i w:val="0"/>
                <w:iCs w:val="0"/>
                <w:kern w:val="0"/>
                <w:sz w:val="21"/>
                <w:szCs w:val="21"/>
                <w:lang w:bidi="ar"/>
              </w:rPr>
              <w:t>（服务点位）</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管道消杀装备整机在空调管道系统场景内安装设计；</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lang w:val="en-US" w:eastAsia="zh-CN"/>
              </w:rPr>
            </w:pPr>
            <w:r>
              <w:rPr>
                <w:rFonts w:hint="eastAsia" w:ascii="宋体" w:hAnsi="宋体" w:eastAsia="宋体" w:cs="宋体"/>
                <w:i w:val="0"/>
                <w:iCs w:val="0"/>
                <w:sz w:val="21"/>
                <w:szCs w:val="21"/>
                <w:lang w:val="en-US" w:eastAsia="zh-CN"/>
              </w:rPr>
              <w:t>17</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配置名称</w:t>
            </w:r>
            <w:r>
              <w:rPr>
                <w:rFonts w:hint="eastAsia" w:ascii="宋体" w:hAnsi="宋体" w:eastAsia="宋体" w:cs="宋体"/>
                <w:i w:val="0"/>
                <w:iCs w:val="0"/>
                <w:kern w:val="0"/>
                <w:sz w:val="21"/>
                <w:szCs w:val="21"/>
                <w:lang w:val="en-US" w:eastAsia="zh-CN" w:bidi="ar"/>
              </w:rPr>
              <w:t>2</w:t>
            </w:r>
            <w:r>
              <w:rPr>
                <w:rFonts w:hint="eastAsia" w:ascii="宋体" w:hAnsi="宋体" w:eastAsia="宋体" w:cs="宋体"/>
                <w:i w:val="0"/>
                <w:iCs w:val="0"/>
                <w:kern w:val="0"/>
                <w:sz w:val="21"/>
                <w:szCs w:val="21"/>
                <w:lang w:bidi="ar"/>
              </w:rPr>
              <w:br w:type="textWrapping"/>
            </w:r>
            <w:r>
              <w:rPr>
                <w:rFonts w:hint="eastAsia" w:ascii="宋体" w:hAnsi="宋体" w:eastAsia="宋体" w:cs="宋体"/>
                <w:i w:val="0"/>
                <w:iCs w:val="0"/>
                <w:kern w:val="0"/>
                <w:sz w:val="21"/>
                <w:szCs w:val="21"/>
                <w:lang w:bidi="ar"/>
              </w:rPr>
              <w:t>（服务点位）</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嵌入式车载消杀装备整机在车载式场景下的安装设计。</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val="en-US" w:eastAsia="zh-CN" w:bidi="ar"/>
              </w:rPr>
            </w:pPr>
            <w:r>
              <w:rPr>
                <w:rFonts w:hint="eastAsia" w:ascii="宋体" w:hAnsi="宋体" w:eastAsia="宋体" w:cs="宋体"/>
                <w:i w:val="0"/>
                <w:iCs w:val="0"/>
                <w:kern w:val="0"/>
                <w:sz w:val="21"/>
                <w:szCs w:val="21"/>
                <w:lang w:val="en-US" w:eastAsia="zh-CN" w:bidi="ar"/>
              </w:rPr>
              <w:t>18</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配置名称</w:t>
            </w:r>
            <w:r>
              <w:rPr>
                <w:rFonts w:hint="eastAsia" w:ascii="宋体" w:hAnsi="宋体" w:eastAsia="宋体" w:cs="宋体"/>
                <w:i w:val="0"/>
                <w:iCs w:val="0"/>
                <w:kern w:val="0"/>
                <w:sz w:val="21"/>
                <w:szCs w:val="21"/>
                <w:lang w:val="en-US" w:eastAsia="zh-CN" w:bidi="ar"/>
              </w:rPr>
              <w:t>3</w:t>
            </w:r>
            <w:r>
              <w:rPr>
                <w:rFonts w:hint="eastAsia" w:ascii="宋体" w:hAnsi="宋体" w:eastAsia="宋体" w:cs="宋体"/>
                <w:i w:val="0"/>
                <w:iCs w:val="0"/>
                <w:kern w:val="0"/>
                <w:sz w:val="21"/>
                <w:szCs w:val="21"/>
                <w:lang w:bidi="ar"/>
              </w:rPr>
              <w:br w:type="textWrapping"/>
            </w:r>
            <w:r>
              <w:rPr>
                <w:rFonts w:hint="eastAsia" w:ascii="宋体" w:hAnsi="宋体" w:eastAsia="宋体" w:cs="宋体"/>
                <w:i w:val="0"/>
                <w:iCs w:val="0"/>
                <w:kern w:val="0"/>
                <w:sz w:val="21"/>
                <w:szCs w:val="21"/>
                <w:lang w:bidi="ar"/>
              </w:rPr>
              <w:t>（服务人员）</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参加项目的人员大于10人，其中技术骨干2人，技术人员8人。</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1090"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lang w:val="en-US" w:eastAsia="zh-CN"/>
              </w:rPr>
            </w:pPr>
            <w:r>
              <w:rPr>
                <w:rFonts w:hint="eastAsia" w:ascii="宋体" w:hAnsi="宋体" w:eastAsia="宋体" w:cs="宋体"/>
                <w:i w:val="0"/>
                <w:iCs w:val="0"/>
                <w:sz w:val="21"/>
                <w:szCs w:val="21"/>
                <w:lang w:val="en-US" w:eastAsia="zh-CN"/>
              </w:rPr>
              <w:t>18</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验收标准方法</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按照投标文件、采购合同、质量标准等，组织对设备进行质量验收，出具验收报告。验收过程中对于核心参数存疑需检测的，可委托地方具有相应检测能力的机构提供技术支持。</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5000" w:type="pct"/>
            <w:gridSpan w:val="6"/>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kern w:val="0"/>
                <w:sz w:val="21"/>
                <w:szCs w:val="21"/>
                <w:lang w:eastAsia="zh-CN" w:bidi="ar"/>
              </w:rPr>
            </w:pPr>
            <w:r>
              <w:rPr>
                <w:rFonts w:hint="eastAsia" w:ascii="宋体" w:hAnsi="宋体" w:eastAsia="宋体" w:cs="宋体"/>
                <w:b/>
                <w:bCs/>
                <w:i w:val="0"/>
                <w:iCs w:val="0"/>
                <w:kern w:val="0"/>
                <w:sz w:val="21"/>
                <w:szCs w:val="21"/>
                <w:lang w:eastAsia="zh-CN" w:bidi="ar"/>
              </w:rPr>
              <w:t>商务</w:t>
            </w:r>
            <w:r>
              <w:rPr>
                <w:rFonts w:hint="eastAsia" w:ascii="宋体" w:hAnsi="宋体" w:eastAsia="宋体" w:cs="宋体"/>
                <w:b/>
                <w:bCs/>
                <w:i w:val="0"/>
                <w:iCs w:val="0"/>
                <w:kern w:val="0"/>
                <w:sz w:val="21"/>
                <w:szCs w:val="21"/>
                <w:lang w:bidi="ar"/>
              </w:rPr>
              <w:t>要求</w:t>
            </w:r>
          </w:p>
        </w:tc>
      </w:tr>
      <w:tr>
        <w:tblPrEx>
          <w:tblCellMar>
            <w:top w:w="0" w:type="dxa"/>
            <w:left w:w="108" w:type="dxa"/>
            <w:bottom w:w="0" w:type="dxa"/>
            <w:right w:w="108" w:type="dxa"/>
          </w:tblCellMar>
        </w:tblPrEx>
        <w:trPr>
          <w:trHeight w:val="465"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sz w:val="21"/>
                <w:szCs w:val="21"/>
              </w:rPr>
              <w:t>1</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交货时间、交货地点</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合同签订后3个月内交付，交付地点由甲方指定。</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499"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lang w:bidi="ar"/>
              </w:rPr>
            </w:pPr>
            <w:r>
              <w:rPr>
                <w:rFonts w:hint="eastAsia" w:ascii="宋体" w:hAnsi="宋体" w:eastAsia="宋体" w:cs="宋体"/>
                <w:i w:val="0"/>
                <w:iCs w:val="0"/>
                <w:sz w:val="21"/>
                <w:szCs w:val="21"/>
                <w:lang w:bidi="ar"/>
              </w:rPr>
              <w:t>2</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付款及结算方式</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签订合同付（预付）</w:t>
            </w:r>
            <w:r>
              <w:rPr>
                <w:rFonts w:hint="eastAsia" w:ascii="宋体" w:hAnsi="宋体" w:eastAsia="宋体" w:cs="宋体"/>
                <w:i w:val="0"/>
                <w:iCs w:val="0"/>
                <w:kern w:val="0"/>
                <w:sz w:val="21"/>
                <w:szCs w:val="21"/>
                <w:lang w:val="en-US" w:eastAsia="zh-CN" w:bidi="ar"/>
              </w:rPr>
              <w:t>3</w:t>
            </w:r>
            <w:r>
              <w:rPr>
                <w:rFonts w:hint="eastAsia" w:ascii="宋体" w:hAnsi="宋体" w:eastAsia="宋体" w:cs="宋体"/>
                <w:i w:val="0"/>
                <w:iCs w:val="0"/>
                <w:kern w:val="0"/>
                <w:sz w:val="21"/>
                <w:szCs w:val="21"/>
                <w:lang w:bidi="ar"/>
              </w:rPr>
              <w:t>0%，服务完成验收后付</w:t>
            </w:r>
            <w:r>
              <w:rPr>
                <w:rFonts w:hint="eastAsia" w:ascii="宋体" w:hAnsi="宋体" w:eastAsia="宋体" w:cs="宋体"/>
                <w:i w:val="0"/>
                <w:iCs w:val="0"/>
                <w:kern w:val="0"/>
                <w:sz w:val="21"/>
                <w:szCs w:val="21"/>
                <w:lang w:val="en-US" w:eastAsia="zh-CN" w:bidi="ar"/>
              </w:rPr>
              <w:t>6</w:t>
            </w:r>
            <w:r>
              <w:rPr>
                <w:rFonts w:hint="eastAsia" w:ascii="宋体" w:hAnsi="宋体" w:eastAsia="宋体" w:cs="宋体"/>
                <w:i w:val="0"/>
                <w:iCs w:val="0"/>
                <w:kern w:val="0"/>
                <w:sz w:val="21"/>
                <w:szCs w:val="21"/>
                <w:lang w:bidi="ar"/>
              </w:rPr>
              <w:t>5%。</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499"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3</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履约保证金、质量保证金</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验收合格后满1年无质量问题支付剩余5%</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454"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lang w:val="en-US" w:eastAsia="zh-CN"/>
              </w:rPr>
            </w:pPr>
            <w:r>
              <w:rPr>
                <w:rFonts w:hint="eastAsia" w:ascii="宋体" w:hAnsi="宋体" w:eastAsia="宋体" w:cs="宋体"/>
                <w:i w:val="0"/>
                <w:iCs w:val="0"/>
                <w:sz w:val="21"/>
                <w:szCs w:val="21"/>
                <w:lang w:val="en-US" w:eastAsia="zh-CN"/>
              </w:rPr>
              <w:t>4</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售后服务1</w:t>
            </w:r>
          </w:p>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（质保）</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val="en-US" w:eastAsia="zh-CN" w:bidi="ar"/>
              </w:rPr>
              <w:t>质保</w:t>
            </w:r>
            <w:r>
              <w:rPr>
                <w:rFonts w:hint="eastAsia" w:ascii="宋体" w:hAnsi="宋体" w:eastAsia="宋体" w:cs="宋体"/>
                <w:i w:val="0"/>
                <w:iCs w:val="0"/>
                <w:kern w:val="0"/>
                <w:sz w:val="21"/>
                <w:szCs w:val="21"/>
                <w:lang w:bidi="ar"/>
              </w:rPr>
              <w:t>年限不低于</w:t>
            </w:r>
            <w:r>
              <w:rPr>
                <w:rFonts w:hint="eastAsia" w:ascii="宋体" w:hAnsi="宋体" w:eastAsia="宋体" w:cs="宋体"/>
                <w:i w:val="0"/>
                <w:iCs w:val="0"/>
                <w:kern w:val="0"/>
                <w:sz w:val="21"/>
                <w:szCs w:val="21"/>
                <w:lang w:val="en-US" w:eastAsia="zh-CN" w:bidi="ar"/>
              </w:rPr>
              <w:t>1</w:t>
            </w:r>
            <w:r>
              <w:rPr>
                <w:rFonts w:hint="eastAsia" w:ascii="宋体" w:hAnsi="宋体" w:eastAsia="宋体" w:cs="宋体"/>
                <w:i w:val="0"/>
                <w:iCs w:val="0"/>
                <w:kern w:val="0"/>
                <w:sz w:val="21"/>
                <w:szCs w:val="21"/>
                <w:lang w:bidi="ar"/>
              </w:rPr>
              <w:t>年，（按365日/年计算)。</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499"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val="en-US" w:eastAsia="zh-CN" w:bidi="ar"/>
              </w:rPr>
            </w:pPr>
            <w:r>
              <w:rPr>
                <w:rFonts w:hint="eastAsia" w:ascii="宋体" w:hAnsi="宋体" w:eastAsia="宋体" w:cs="宋体"/>
                <w:i w:val="0"/>
                <w:iCs w:val="0"/>
                <w:kern w:val="0"/>
                <w:sz w:val="21"/>
                <w:szCs w:val="21"/>
                <w:lang w:val="en-US" w:eastAsia="zh-CN" w:bidi="ar"/>
              </w:rPr>
              <w:t>5</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专用工具</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描述应提供的配套专修工具和使用工具。</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720"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lang w:val="en-US" w:eastAsia="zh-CN"/>
              </w:rPr>
            </w:pPr>
            <w:r>
              <w:rPr>
                <w:rFonts w:hint="eastAsia" w:ascii="宋体" w:hAnsi="宋体" w:eastAsia="宋体" w:cs="宋体"/>
                <w:i w:val="0"/>
                <w:iCs w:val="0"/>
                <w:sz w:val="21"/>
                <w:szCs w:val="21"/>
                <w:lang w:val="en-US" w:eastAsia="zh-CN"/>
              </w:rPr>
              <w:t>6</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保密要求</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按协议保密</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9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lang w:val="en-US" w:eastAsia="zh-CN"/>
              </w:rPr>
            </w:pPr>
            <w:r>
              <w:rPr>
                <w:rFonts w:hint="eastAsia" w:ascii="宋体" w:hAnsi="宋体" w:eastAsia="宋体" w:cs="宋体"/>
                <w:i w:val="0"/>
                <w:iCs w:val="0"/>
                <w:sz w:val="21"/>
                <w:szCs w:val="21"/>
                <w:lang w:val="en-US" w:eastAsia="zh-CN"/>
              </w:rPr>
              <w:t>7</w:t>
            </w:r>
          </w:p>
        </w:tc>
        <w:tc>
          <w:tcPr>
            <w:tcW w:w="83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知识产权</w:t>
            </w:r>
          </w:p>
        </w:tc>
        <w:tc>
          <w:tcPr>
            <w:tcW w:w="43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98"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tc>
        <w:tc>
          <w:tcPr>
            <w:tcW w:w="738"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5000" w:type="pct"/>
            <w:gridSpan w:val="6"/>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b/>
                <w:bCs/>
                <w:sz w:val="21"/>
                <w:szCs w:val="21"/>
              </w:rPr>
            </w:pPr>
            <w:r>
              <w:rPr>
                <w:rFonts w:hint="eastAsia" w:ascii="宋体" w:hAnsi="宋体" w:eastAsia="宋体" w:cs="宋体"/>
                <w:b/>
                <w:bCs/>
                <w:sz w:val="21"/>
                <w:szCs w:val="21"/>
              </w:rPr>
              <w:t>说明：1.加注“★”号的技术指标为关键指标，≥1项未达到招标文件要求，即做废标处理</w:t>
            </w:r>
          </w:p>
          <w:p>
            <w:pPr>
              <w:keepNext w:val="0"/>
              <w:keepLines w:val="0"/>
              <w:pageBreakBefore w:val="0"/>
              <w:kinsoku/>
              <w:wordWrap/>
              <w:overflowPunct/>
              <w:topLinePunct w:val="0"/>
              <w:autoSpaceDE/>
              <w:autoSpaceDN/>
              <w:bidi w:val="0"/>
              <w:adjustRightInd/>
              <w:snapToGrid/>
              <w:spacing w:line="300" w:lineRule="exact"/>
              <w:ind w:firstLine="632" w:firstLineChars="300"/>
              <w:rPr>
                <w:rFonts w:hint="eastAsia" w:ascii="宋体" w:hAnsi="宋体" w:eastAsia="宋体" w:cs="宋体"/>
                <w:b/>
                <w:bCs/>
                <w:sz w:val="21"/>
                <w:szCs w:val="21"/>
                <w:highlight w:val="none"/>
              </w:rPr>
            </w:pPr>
            <w:r>
              <w:rPr>
                <w:rFonts w:hint="eastAsia" w:ascii="宋体" w:hAnsi="宋体" w:eastAsia="宋体" w:cs="宋体"/>
                <w:b/>
                <w:bCs/>
                <w:sz w:val="21"/>
                <w:szCs w:val="21"/>
              </w:rPr>
              <w:t>2.加注“▲”号的技术指标为重要指标</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kern w:val="0"/>
                <w:sz w:val="21"/>
                <w:szCs w:val="21"/>
                <w:lang w:bidi="ar"/>
              </w:rPr>
            </w:pPr>
            <w:r>
              <w:rPr>
                <w:rFonts w:hint="eastAsia" w:ascii="宋体" w:hAnsi="宋体" w:eastAsia="宋体" w:cs="宋体"/>
                <w:b/>
                <w:bCs/>
                <w:sz w:val="21"/>
                <w:szCs w:val="21"/>
                <w:highlight w:val="none"/>
              </w:rPr>
              <w:t xml:space="preserve">      3.加注“★”、“▲”号</w:t>
            </w:r>
            <w:r>
              <w:rPr>
                <w:rFonts w:hint="eastAsia" w:ascii="宋体" w:hAnsi="宋体" w:eastAsia="宋体" w:cs="宋体"/>
                <w:b/>
                <w:bCs/>
                <w:sz w:val="21"/>
                <w:szCs w:val="21"/>
                <w:highlight w:val="none"/>
                <w:lang w:eastAsia="zh-CN"/>
              </w:rPr>
              <w:t>的</w:t>
            </w:r>
            <w:r>
              <w:rPr>
                <w:rFonts w:hint="eastAsia" w:ascii="宋体" w:hAnsi="宋体" w:eastAsia="宋体" w:cs="宋体"/>
                <w:b/>
                <w:bCs/>
                <w:sz w:val="21"/>
                <w:szCs w:val="21"/>
                <w:highlight w:val="none"/>
              </w:rPr>
              <w:t>技术指标均需投标企业提供证明材料</w:t>
            </w:r>
            <w:r>
              <w:rPr>
                <w:rFonts w:hint="eastAsia" w:ascii="宋体" w:hAnsi="宋体" w:eastAsia="宋体" w:cs="宋体"/>
                <w:b/>
                <w:bCs/>
                <w:kern w:val="0"/>
                <w:sz w:val="21"/>
                <w:szCs w:val="21"/>
                <w:highlight w:val="none"/>
                <w:lang w:bidi="ar"/>
              </w:rPr>
              <w:t>（证明材料为“</w:t>
            </w:r>
            <w:r>
              <w:rPr>
                <w:rFonts w:hint="eastAsia" w:ascii="宋体" w:hAnsi="宋体" w:eastAsia="宋体" w:cs="宋体"/>
                <w:b/>
                <w:bCs/>
                <w:kern w:val="0"/>
                <w:sz w:val="21"/>
                <w:szCs w:val="21"/>
                <w:highlight w:val="none"/>
                <w:lang w:eastAsia="zh-CN" w:bidi="ar"/>
              </w:rPr>
              <w:t>企业</w:t>
            </w:r>
            <w:r>
              <w:rPr>
                <w:rFonts w:hint="eastAsia" w:ascii="宋体" w:hAnsi="宋体" w:eastAsia="宋体" w:cs="宋体"/>
                <w:b/>
                <w:bCs/>
                <w:kern w:val="0"/>
                <w:sz w:val="21"/>
                <w:szCs w:val="21"/>
                <w:highlight w:val="none"/>
                <w:lang w:bidi="ar"/>
              </w:rPr>
              <w:t>承诺”的，在技术商务指标参数响应偏离表</w:t>
            </w:r>
            <w:r>
              <w:rPr>
                <w:rFonts w:hint="eastAsia" w:ascii="宋体" w:hAnsi="宋体" w:eastAsia="宋体" w:cs="宋体"/>
                <w:b/>
                <w:bCs/>
                <w:color w:val="000000"/>
                <w:sz w:val="21"/>
                <w:szCs w:val="21"/>
                <w:highlight w:val="none"/>
              </w:rPr>
              <w:t>中体现即可</w:t>
            </w:r>
            <w:r>
              <w:rPr>
                <w:rFonts w:hint="eastAsia" w:ascii="宋体" w:hAnsi="宋体" w:eastAsia="宋体" w:cs="宋体"/>
                <w:b/>
                <w:bCs/>
                <w:kern w:val="0"/>
                <w:sz w:val="21"/>
                <w:szCs w:val="21"/>
                <w:highlight w:val="none"/>
                <w:lang w:bidi="ar"/>
              </w:rPr>
              <w:t>）</w:t>
            </w:r>
          </w:p>
        </w:tc>
      </w:tr>
    </w:tbl>
    <w:p/>
    <w:sectPr>
      <w:pgSz w:w="11906" w:h="16838"/>
      <w:pgMar w:top="1134" w:right="1134"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Gulim">
    <w:panose1 w:val="020B0600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wOWRjZTg3ZjBlNWMzYzE4YjA1Yzg1MzdmOWRhYTcifQ=="/>
  </w:docVars>
  <w:rsids>
    <w:rsidRoot w:val="00000000"/>
    <w:rsid w:val="3AF1243C"/>
    <w:rsid w:val="41FD572E"/>
    <w:rsid w:val="7D0B4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First Indent 2"/>
    <w:basedOn w:val="2"/>
    <w:semiHidden/>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2025-05-12T11:58:00Z</dcterms:created>
  <dc:creator>DOCTOR</dc:creator>
  <cp:lastModifiedBy>DOCTOR</cp:lastModifiedBy>
  <dcterms:modified xsi:type="dcterms:W3CDTF">2025-06-27T08:07:51Z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8923F17829784343B44F927D21602F24_12</vt:lpwstr>
  </property>
</Properties>
</file>