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 w:val="left" w:pos="846"/>
          <w:tab w:val="left" w:pos="1122"/>
        </w:tabs>
        <w:spacing w:line="560" w:lineRule="exact"/>
        <w:ind w:firstLine="560"/>
        <w:outlineLvl w:val="2"/>
        <w:rPr>
          <w:rFonts w:hint="eastAsia" w:ascii="黑体" w:hAnsi="黑体" w:cs="黑体"/>
          <w:b w:val="0"/>
          <w:sz w:val="28"/>
          <w:szCs w:val="28"/>
          <w:highlight w:val="none"/>
          <w:lang w:eastAsia="zh-CN"/>
        </w:rPr>
      </w:pPr>
      <w:bookmarkStart w:id="0" w:name="_Toc112768493"/>
      <w:bookmarkStart w:id="1" w:name="_Toc19477"/>
      <w:bookmarkStart w:id="2" w:name="_Toc5753"/>
      <w:bookmarkStart w:id="3" w:name="_Toc624"/>
      <w:bookmarkStart w:id="4" w:name="_Toc112681847"/>
      <w:bookmarkStart w:id="5" w:name="_Toc32238"/>
      <w:bookmarkStart w:id="6" w:name="_Toc20518"/>
      <w:bookmarkStart w:id="7" w:name="_Toc16726"/>
      <w:bookmarkStart w:id="8" w:name="_Toc121476582"/>
      <w:bookmarkStart w:id="9" w:name="_Toc128151307"/>
      <w:bookmarkStart w:id="10" w:name="_Toc113349540"/>
      <w:bookmarkStart w:id="11" w:name="_Toc31915"/>
      <w:bookmarkStart w:id="12" w:name="_Toc24660"/>
      <w:bookmarkStart w:id="13" w:name="_Toc26860"/>
      <w:r>
        <w:rPr>
          <w:rFonts w:hint="eastAsia" w:eastAsia="黑体"/>
          <w:sz w:val="28"/>
          <w:szCs w:val="28"/>
        </w:rPr>
        <w:t>一、商务要求</w:t>
      </w:r>
      <w:bookmarkEnd w:id="0"/>
      <w:bookmarkEnd w:id="1"/>
      <w:bookmarkEnd w:id="2"/>
      <w:bookmarkEnd w:id="3"/>
      <w:bookmarkEnd w:id="4"/>
      <w:bookmarkEnd w:id="5"/>
      <w:bookmarkEnd w:id="6"/>
      <w:bookmarkEnd w:id="7"/>
      <w:bookmarkEnd w:id="8"/>
      <w:bookmarkEnd w:id="9"/>
      <w:bookmarkEnd w:id="10"/>
      <w:bookmarkEnd w:id="11"/>
      <w:r>
        <w:rPr>
          <w:rFonts w:hint="eastAsia" w:ascii="黑体" w:hAnsi="黑体" w:cs="黑体"/>
          <w:sz w:val="28"/>
          <w:szCs w:val="28"/>
        </w:rPr>
        <w:t>（商务条款均为实质性响应条款，不接受负偏离）</w:t>
      </w:r>
      <w:bookmarkEnd w:id="12"/>
      <w:bookmarkEnd w:id="13"/>
    </w:p>
    <w:tbl>
      <w:tblPr>
        <w:tblStyle w:val="5"/>
        <w:tblW w:w="5000" w:type="pct"/>
        <w:tblInd w:w="0" w:type="dxa"/>
        <w:shd w:val="clear" w:color="auto" w:fill="auto"/>
        <w:tblLayout w:type="autofit"/>
        <w:tblCellMar>
          <w:top w:w="0" w:type="dxa"/>
          <w:left w:w="0" w:type="dxa"/>
          <w:bottom w:w="0" w:type="dxa"/>
          <w:right w:w="0" w:type="dxa"/>
        </w:tblCellMar>
      </w:tblPr>
      <w:tblGrid>
        <w:gridCol w:w="733"/>
        <w:gridCol w:w="1485"/>
        <w:gridCol w:w="5689"/>
        <w:gridCol w:w="1477"/>
      </w:tblGrid>
      <w:tr>
        <w:tblPrEx>
          <w:shd w:val="clear" w:color="auto" w:fill="auto"/>
          <w:tblCellMar>
            <w:top w:w="0" w:type="dxa"/>
            <w:left w:w="0" w:type="dxa"/>
            <w:bottom w:w="0" w:type="dxa"/>
            <w:right w:w="0" w:type="dxa"/>
          </w:tblCellMar>
        </w:tblPrEx>
        <w:trPr>
          <w:trHeight w:val="559"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kern w:val="0"/>
                <w:sz w:val="24"/>
                <w:szCs w:val="24"/>
                <w:u w:val="none"/>
                <w:lang w:val="en-US" w:eastAsia="zh-CN" w:bidi="ar"/>
              </w:rPr>
            </w:pPr>
            <w:r>
              <w:rPr>
                <w:rFonts w:hint="eastAsia" w:asciiTheme="minorEastAsia" w:hAnsiTheme="minorEastAsia" w:eastAsiaTheme="minorEastAsia" w:cstheme="minorEastAsia"/>
                <w:b/>
                <w:bCs/>
                <w:i w:val="0"/>
                <w:iCs/>
                <w:color w:val="000000"/>
                <w:kern w:val="0"/>
                <w:sz w:val="24"/>
                <w:szCs w:val="24"/>
                <w:u w:val="none"/>
                <w:lang w:val="en-US" w:eastAsia="zh-CN" w:bidi="ar"/>
              </w:rPr>
              <w:t>眼底固体多波长激光治疗机-参数1</w:t>
            </w:r>
          </w:p>
        </w:tc>
      </w:tr>
      <w:tr>
        <w:tblPrEx>
          <w:tblCellMar>
            <w:top w:w="0" w:type="dxa"/>
            <w:left w:w="0" w:type="dxa"/>
            <w:bottom w:w="0" w:type="dxa"/>
            <w:right w:w="0" w:type="dxa"/>
          </w:tblCellMar>
        </w:tblPrEx>
        <w:trPr>
          <w:trHeight w:val="559"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交货时间、交货地点</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合同签订后3个月内交付，交付地点由甲方指定。</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882"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付款及结算方式</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签订合同付（预付）0%，物资到货（服务完成）验收后付95%，验收合格后满1年无质量问题支付剩余5%。</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739"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产品包装和运输要求</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按照国家、行业相关标准规范，产品确保包装完好，运输确保不对产品造成损伤。</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8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售后服务1</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（质保）</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原厂保修年限不低于3年，全年故障停机时间不高于5%（按365日/年计算)。故障停机每超出1天，按两倍时间延保。</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739"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售后服务2</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（质保）</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保修期内免费提供定期维护保养服务，免费升级和维护软件，免费提供使用培训。</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739"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售后服务3</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（质保）</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不少于2人次、5天的工程师维修培训</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822"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售后服务4</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（响应时间）</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维修响应时间≤2小时，</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维修到达现场时间：京内≤0.5个工作日，京外≤3个工作日。</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495"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备品备件要求（零配件）</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由供应商承诺设备零配件供应≥8年</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r>
        <w:tblPrEx>
          <w:tblCellMar>
            <w:top w:w="0" w:type="dxa"/>
            <w:left w:w="0" w:type="dxa"/>
            <w:bottom w:w="0" w:type="dxa"/>
            <w:right w:w="0" w:type="dxa"/>
          </w:tblCellMar>
        </w:tblPrEx>
        <w:trPr>
          <w:trHeight w:val="8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w:t>
            </w:r>
          </w:p>
        </w:tc>
        <w:tc>
          <w:tcPr>
            <w:tcW w:w="7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物资编目编码、打码贴签要求</w:t>
            </w:r>
          </w:p>
        </w:tc>
        <w:tc>
          <w:tcPr>
            <w:tcW w:w="30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本项目对物资的编目编码、打码贴签要求，报价供应商应当予以明确响应，相关费用包含在报价中。</w:t>
            </w:r>
          </w:p>
        </w:tc>
        <w:tc>
          <w:tcPr>
            <w:tcW w:w="7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color w:val="000000"/>
                <w:sz w:val="24"/>
                <w:szCs w:val="24"/>
                <w:u w:val="none"/>
              </w:rPr>
            </w:pPr>
            <w:r>
              <w:rPr>
                <w:rFonts w:hint="eastAsia" w:asciiTheme="minorEastAsia" w:hAnsiTheme="minorEastAsia" w:eastAsiaTheme="minorEastAsia" w:cstheme="minorEastAsia"/>
                <w:i/>
                <w:color w:val="000000"/>
                <w:kern w:val="0"/>
                <w:sz w:val="24"/>
                <w:szCs w:val="24"/>
                <w:u w:val="none"/>
                <w:lang w:val="en-US" w:eastAsia="zh-CN" w:bidi="ar"/>
              </w:rPr>
              <w:t>企业承诺</w:t>
            </w:r>
          </w:p>
        </w:tc>
      </w:tr>
    </w:tbl>
    <w:p>
      <w:pPr>
        <w:pStyle w:val="3"/>
        <w:rPr>
          <w:rFonts w:hint="eastAsia" w:ascii="黑体" w:hAnsi="黑体" w:cs="黑体"/>
          <w:b w:val="0"/>
          <w:sz w:val="28"/>
          <w:szCs w:val="28"/>
          <w:highlight w:val="none"/>
          <w:lang w:eastAsia="zh-CN"/>
        </w:rPr>
      </w:pPr>
    </w:p>
    <w:tbl>
      <w:tblPr>
        <w:tblStyle w:val="5"/>
        <w:tblW w:w="5000" w:type="pct"/>
        <w:tblInd w:w="0" w:type="dxa"/>
        <w:tblLayout w:type="autofit"/>
        <w:tblCellMar>
          <w:top w:w="0" w:type="dxa"/>
          <w:left w:w="108" w:type="dxa"/>
          <w:bottom w:w="0" w:type="dxa"/>
          <w:right w:w="108" w:type="dxa"/>
        </w:tblCellMar>
      </w:tblPr>
      <w:tblGrid>
        <w:gridCol w:w="618"/>
        <w:gridCol w:w="1744"/>
        <w:gridCol w:w="5654"/>
        <w:gridCol w:w="1554"/>
      </w:tblGrid>
      <w:tr>
        <w:tblPrEx>
          <w:tblCellMar>
            <w:top w:w="0" w:type="dxa"/>
            <w:left w:w="108" w:type="dxa"/>
            <w:bottom w:w="0" w:type="dxa"/>
            <w:right w:w="108" w:type="dxa"/>
          </w:tblCellMar>
        </w:tblPrEx>
        <w:trPr>
          <w:trHeight w:val="499" w:hRule="atLeast"/>
        </w:trPr>
        <w:tc>
          <w:tcPr>
            <w:tcW w:w="5000"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Cs/>
                <w:sz w:val="24"/>
                <w:szCs w:val="24"/>
                <w:lang w:val="en-US"/>
              </w:rPr>
            </w:pPr>
            <w:r>
              <w:rPr>
                <w:rFonts w:hint="eastAsia" w:ascii="宋体" w:hAnsi="宋体" w:eastAsia="宋体" w:cs="宋体"/>
                <w:b/>
                <w:bCs/>
                <w:i w:val="0"/>
                <w:iCs/>
                <w:color w:val="000000"/>
                <w:kern w:val="0"/>
                <w:sz w:val="24"/>
                <w:szCs w:val="24"/>
                <w:u w:val="none"/>
                <w:lang w:val="en-US" w:eastAsia="zh-CN" w:bidi="ar"/>
              </w:rPr>
              <w:t>眼底固体多波长激光治疗机-参数2</w:t>
            </w:r>
          </w:p>
        </w:tc>
      </w:tr>
      <w:tr>
        <w:tblPrEx>
          <w:tblCellMar>
            <w:top w:w="0" w:type="dxa"/>
            <w:left w:w="108" w:type="dxa"/>
            <w:bottom w:w="0" w:type="dxa"/>
            <w:right w:w="108" w:type="dxa"/>
          </w:tblCellMar>
        </w:tblPrEx>
        <w:trPr>
          <w:trHeight w:val="499"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交货时间、交货地点</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合同签订后3个月内交付，交付地点由甲方指定。</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54"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2</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产品包装和运输要求</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按照国家、行业相关标准规范，产品确保包装完好，运输确保不对产品造成损伤。</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54"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3</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付款及结算方式</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物资到货（服务完成）验收后付95%。</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99"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履约保证金/质量保证金</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验收合格后满1年无质量问题支付剩余5%（不超过5%）</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99"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5</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原厂保修年限</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整机保修年限不低于3年，全年故障停机时间不高于5%（按365日/年计算)。</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99"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6</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升级与软件维护</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保修期内免费提供定期维护保养服务，免费升级和维护软件，免费提供使用培训。</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720"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7</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维修培训</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提供不少于1人次、1天的工程师维修培训。</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499"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8</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到位维修响应</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维修响应时间≤24小时内，维修到达现场时间≤48小时内。</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720"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9</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备品备件要求（零配件）</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供消耗性配件（年平均更换大于1次的配件）和高值配件（价格大于设备成交价5%以上）的报价清单，且高值配件报价之和不得高于设备成交价的110%，不在上述要求配件清单内的消耗性配件和高值配件视为在该类设备法规规定最低使用年限内出现故障时免费提供）</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r>
        <w:tblPrEx>
          <w:tblCellMar>
            <w:top w:w="0" w:type="dxa"/>
            <w:left w:w="108" w:type="dxa"/>
            <w:bottom w:w="0" w:type="dxa"/>
            <w:right w:w="108" w:type="dxa"/>
          </w:tblCellMar>
        </w:tblPrEx>
        <w:trPr>
          <w:trHeight w:val="720" w:hRule="atLeast"/>
        </w:trPr>
        <w:tc>
          <w:tcPr>
            <w:tcW w:w="32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10</w:t>
            </w:r>
          </w:p>
        </w:tc>
        <w:tc>
          <w:tcPr>
            <w:tcW w:w="911"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物资编目编码、打码贴签要求</w:t>
            </w:r>
          </w:p>
        </w:tc>
        <w:tc>
          <w:tcPr>
            <w:tcW w:w="295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本项目对物资的编目编码、打码贴签要求，报价供应商应当予以明确响应，相关费用包含在报价中。</w:t>
            </w:r>
          </w:p>
        </w:tc>
        <w:tc>
          <w:tcPr>
            <w:tcW w:w="81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企业承诺</w:t>
            </w:r>
          </w:p>
        </w:tc>
      </w:tr>
    </w:tbl>
    <w:p>
      <w:pPr>
        <w:numPr>
          <w:ilvl w:val="0"/>
          <w:numId w:val="0"/>
        </w:numPr>
        <w:tabs>
          <w:tab w:val="left" w:pos="0"/>
          <w:tab w:val="left" w:pos="846"/>
          <w:tab w:val="left" w:pos="1122"/>
        </w:tabs>
        <w:spacing w:line="560" w:lineRule="exact"/>
        <w:ind w:firstLine="560" w:firstLineChars="200"/>
        <w:outlineLvl w:val="2"/>
        <w:rPr>
          <w:rFonts w:hint="eastAsia"/>
          <w:b w:val="0"/>
          <w:szCs w:val="44"/>
          <w:highlight w:val="none"/>
          <w:lang w:val="zh-CN"/>
        </w:rPr>
      </w:pPr>
      <w:bookmarkStart w:id="14" w:name="_Toc128151308"/>
      <w:bookmarkStart w:id="15" w:name="_Toc1394"/>
      <w:bookmarkStart w:id="16" w:name="_Toc31607"/>
      <w:r>
        <w:rPr>
          <w:rFonts w:hint="eastAsia" w:eastAsia="黑体"/>
          <w:sz w:val="28"/>
          <w:szCs w:val="28"/>
          <w:lang w:eastAsia="zh-CN"/>
        </w:rPr>
        <w:t>二、</w:t>
      </w:r>
      <w:r>
        <w:rPr>
          <w:rFonts w:hint="eastAsia" w:eastAsia="黑体"/>
          <w:sz w:val="28"/>
          <w:szCs w:val="28"/>
        </w:rPr>
        <w:t>技术要求</w:t>
      </w:r>
      <w:bookmarkEnd w:id="14"/>
      <w:r>
        <w:rPr>
          <w:rFonts w:hint="eastAsia" w:asciiTheme="minorEastAsia" w:hAnsiTheme="minorEastAsia" w:eastAsiaTheme="minorEastAsia"/>
          <w:sz w:val="28"/>
          <w:szCs w:val="28"/>
        </w:rPr>
        <w:t>（单一来源采购项目所有指标均不接受负偏离，任意一项不满足要求按废标处理）</w:t>
      </w:r>
      <w:bookmarkEnd w:id="15"/>
      <w:bookmarkEnd w:id="16"/>
    </w:p>
    <w:tbl>
      <w:tblPr>
        <w:tblStyle w:val="5"/>
        <w:tblW w:w="5000" w:type="pct"/>
        <w:tblInd w:w="0" w:type="dxa"/>
        <w:shd w:val="clear" w:color="auto" w:fill="auto"/>
        <w:tblLayout w:type="autofit"/>
        <w:tblCellMar>
          <w:top w:w="0" w:type="dxa"/>
          <w:left w:w="0" w:type="dxa"/>
          <w:bottom w:w="0" w:type="dxa"/>
          <w:right w:w="0" w:type="dxa"/>
        </w:tblCellMar>
      </w:tblPr>
      <w:tblGrid>
        <w:gridCol w:w="618"/>
        <w:gridCol w:w="730"/>
        <w:gridCol w:w="527"/>
        <w:gridCol w:w="717"/>
        <w:gridCol w:w="404"/>
        <w:gridCol w:w="952"/>
        <w:gridCol w:w="2444"/>
        <w:gridCol w:w="1042"/>
        <w:gridCol w:w="691"/>
        <w:gridCol w:w="1259"/>
      </w:tblGrid>
      <w:tr>
        <w:tblPrEx>
          <w:shd w:val="clear" w:color="auto" w:fill="auto"/>
          <w:tblCellMar>
            <w:top w:w="0" w:type="dxa"/>
            <w:left w:w="0" w:type="dxa"/>
            <w:bottom w:w="0" w:type="dxa"/>
            <w:right w:w="0" w:type="dxa"/>
          </w:tblCellMar>
        </w:tblPrEx>
        <w:trPr>
          <w:trHeight w:val="570" w:hRule="atLeast"/>
        </w:trPr>
        <w:tc>
          <w:tcPr>
            <w:tcW w:w="5000" w:type="pct"/>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采购需求表（物资类）（参数1）</w:t>
            </w:r>
          </w:p>
        </w:tc>
      </w:tr>
      <w:tr>
        <w:tblPrEx>
          <w:tblCellMar>
            <w:top w:w="0" w:type="dxa"/>
            <w:left w:w="0" w:type="dxa"/>
            <w:bottom w:w="0" w:type="dxa"/>
            <w:right w:w="0" w:type="dxa"/>
          </w:tblCellMar>
        </w:tblPrEx>
        <w:trPr>
          <w:trHeight w:val="619" w:hRule="atLeast"/>
        </w:trPr>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87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2024-JQ06-W1321 </w:t>
            </w:r>
          </w:p>
        </w:tc>
        <w:tc>
          <w:tcPr>
            <w:tcW w:w="5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眼底固体多波长激光治疗机</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03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160</w:t>
            </w:r>
          </w:p>
        </w:tc>
      </w:tr>
      <w:tr>
        <w:tblPrEx>
          <w:tblCellMar>
            <w:top w:w="0" w:type="dxa"/>
            <w:left w:w="0" w:type="dxa"/>
            <w:bottom w:w="0" w:type="dxa"/>
            <w:right w:w="0" w:type="dxa"/>
          </w:tblCellMar>
        </w:tblPrEx>
        <w:trPr>
          <w:trHeight w:val="859"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5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性质</w:t>
            </w:r>
          </w:p>
        </w:tc>
        <w:tc>
          <w:tcPr>
            <w:tcW w:w="236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量化</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48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979"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固体激光器产生红、黄、绿三色激光，用于对眼内血管进行光凝。能够实现治疗激光的波长转换、功率幅值、 脉宽及输出时间的控制等功能。</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产品技术要求</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382"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578" w:type="pct"/>
            <w:gridSpan w:val="4"/>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技术规范1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NMPA医疗器械注册证</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医疗器械注册证</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技术规范2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FDA或CE</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FDA或CE认证证书</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技术参数</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激光器类型</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固体激光器或二极管激光器</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激光腔</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激光腔≥3个</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103"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3.3</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激光种类及波长</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红、黄、绿三色激光：</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655nm≤红色激光波长≤700nm，</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575nm≤黄色激光波长≤595nm，</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530nm≤绿色激光波长≤560nm。</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08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3.4</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激光功率</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红光功率：50～800mW，</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黄光功率：50～1000mW，</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绿光功率：50～1500mW，</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以上功率均连续可调</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79"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3.5</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功率输出精度</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08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3.6</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功率输出步进</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≥15级</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3.7</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激光输出类型</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连续波</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3.8</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脉冲时间</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0.01～3秒</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3.9</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激光脉冲间隔</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0.05～1秒</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3.10 </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照射时间精度</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3.11</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激光光斑尺寸</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50～1000um</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瞄准激光</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红色激光瞄准光，量亮度可调，波长范围645～670nm，与治疗机光同轴共焦</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3.13</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瞄准光功率</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功率≤1.0mW</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3.14</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光纤传输通道</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光纤传输通道≥2个，激光可传输到裂隙灯显微镜</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3.15</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冷却方式</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空气冷却</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3.17</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控制操作</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触屏控制，遥控器或脚踏控制</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3.18</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激光参数设置存储</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≥3个常用治疗参数</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3.19</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安全控制</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术者双眼安全保护装置</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3.20 </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传输系统</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具备，可连接裂隙灯、简介检眼镜、眼内探针等</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裂隙灯显微镜</w:t>
            </w:r>
          </w:p>
        </w:tc>
        <w:tc>
          <w:tcPr>
            <w:tcW w:w="382"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578" w:type="pct"/>
            <w:gridSpan w:val="4"/>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4.1</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技术规范1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NMPA医疗器械注册证，FDA或CE</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注册证及证书</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目镜</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≥2，至少包括10X，12.5X</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4.3</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裂隙长度</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0～14mm，连续可调</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4.4</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棱镜旋转范围</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≥180°</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4.5</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屈光补偿范围</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±8D</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0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4.6</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光源</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卤素灯，功率≥20W</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color w:val="000000"/>
                <w:sz w:val="20"/>
                <w:szCs w:val="20"/>
                <w:u w:val="none"/>
              </w:rPr>
            </w:pPr>
          </w:p>
        </w:tc>
      </w:tr>
      <w:tr>
        <w:tblPrEx>
          <w:tblCellMar>
            <w:top w:w="0" w:type="dxa"/>
            <w:left w:w="0" w:type="dxa"/>
            <w:bottom w:w="0" w:type="dxa"/>
            <w:right w:w="0" w:type="dxa"/>
          </w:tblCellMar>
        </w:tblPrEx>
        <w:trPr>
          <w:trHeight w:val="960"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主机1台，激光防护眼镜*4，裂隙灯显微镜*1，治疗用全视网膜镜*1，激光光纤*4，</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799" w:hRule="atLeast"/>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25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无封闭耗材（试剂）</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sz w:val="20"/>
                <w:szCs w:val="20"/>
                <w:u w:val="none"/>
              </w:rPr>
            </w:pPr>
            <w:r>
              <w:rPr>
                <w:rFonts w:hint="eastAsia" w:ascii="黑体" w:hAnsi="宋体" w:eastAsia="黑体" w:cs="黑体"/>
                <w:i/>
                <w:color w:val="000000"/>
                <w:kern w:val="0"/>
                <w:sz w:val="20"/>
                <w:szCs w:val="20"/>
                <w:u w:val="none"/>
                <w:lang w:val="en-US" w:eastAsia="zh-CN" w:bidi="ar"/>
              </w:rPr>
              <w:t>厂家承诺</w:t>
            </w:r>
          </w:p>
        </w:tc>
      </w:tr>
      <w:tr>
        <w:tblPrEx>
          <w:tblCellMar>
            <w:top w:w="0" w:type="dxa"/>
            <w:left w:w="0" w:type="dxa"/>
            <w:bottom w:w="0" w:type="dxa"/>
            <w:right w:w="0" w:type="dxa"/>
          </w:tblCellMar>
        </w:tblPrEx>
        <w:trPr>
          <w:trHeight w:val="98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1.★指标为必须响应指标，任意一项不满足要求即做废标处理；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2.★及▲标识的指标，无法明确的默认由企业提供承诺；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3.经济要求不接受企业负偏离。</w:t>
            </w:r>
          </w:p>
        </w:tc>
      </w:tr>
    </w:tbl>
    <w:p>
      <w:pPr>
        <w:rPr>
          <w:rFonts w:hint="eastAsia"/>
        </w:rPr>
      </w:pPr>
    </w:p>
    <w:p>
      <w:pPr>
        <w:overflowPunct w:val="0"/>
        <w:spacing w:before="156" w:beforeLines="50" w:after="156" w:afterLines="50" w:line="572" w:lineRule="exact"/>
        <w:jc w:val="center"/>
        <w:rPr>
          <w:rFonts w:ascii="宋体" w:hAnsi="宋体" w:cs="方正小标宋简体"/>
          <w:kern w:val="0"/>
          <w:sz w:val="28"/>
          <w:szCs w:val="28"/>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采购需求表（物资类）（参数2）</w:t>
      </w:r>
    </w:p>
    <w:tbl>
      <w:tblPr>
        <w:tblStyle w:val="5"/>
        <w:tblW w:w="4996" w:type="pct"/>
        <w:tblInd w:w="0" w:type="dxa"/>
        <w:tblLayout w:type="autofit"/>
        <w:tblCellMar>
          <w:top w:w="0" w:type="dxa"/>
          <w:left w:w="108" w:type="dxa"/>
          <w:bottom w:w="0" w:type="dxa"/>
          <w:right w:w="108" w:type="dxa"/>
        </w:tblCellMar>
      </w:tblPr>
      <w:tblGrid>
        <w:gridCol w:w="508"/>
        <w:gridCol w:w="19"/>
        <w:gridCol w:w="654"/>
        <w:gridCol w:w="817"/>
        <w:gridCol w:w="813"/>
        <w:gridCol w:w="86"/>
        <w:gridCol w:w="1138"/>
        <w:gridCol w:w="2216"/>
        <w:gridCol w:w="1262"/>
        <w:gridCol w:w="750"/>
        <w:gridCol w:w="1299"/>
      </w:tblGrid>
      <w:tr>
        <w:tblPrEx>
          <w:tblCellMar>
            <w:top w:w="0" w:type="dxa"/>
            <w:left w:w="108" w:type="dxa"/>
            <w:bottom w:w="0" w:type="dxa"/>
            <w:right w:w="108" w:type="dxa"/>
          </w:tblCellMar>
        </w:tblPrEx>
        <w:trPr>
          <w:trHeight w:val="500" w:hRule="atLeast"/>
        </w:trPr>
        <w:tc>
          <w:tcPr>
            <w:tcW w:w="618"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eastAsia="zh-CN"/>
              </w:rPr>
              <w:t>项目</w:t>
            </w:r>
            <w:r>
              <w:rPr>
                <w:rFonts w:hint="eastAsia" w:ascii="黑体" w:hAnsi="宋体" w:eastAsia="黑体" w:cs="黑体"/>
                <w:kern w:val="0"/>
                <w:sz w:val="20"/>
              </w:rPr>
              <w:t>编号</w:t>
            </w:r>
          </w:p>
        </w:tc>
        <w:tc>
          <w:tcPr>
            <w:tcW w:w="897" w:type="pct"/>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2024-JQ06-W1321</w:t>
            </w:r>
          </w:p>
        </w:tc>
        <w:tc>
          <w:tcPr>
            <w:tcW w:w="595" w:type="pct"/>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11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眼底固体多波长激光治疗机</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07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160</w:t>
            </w:r>
          </w:p>
        </w:tc>
      </w:tr>
      <w:tr>
        <w:tblPrEx>
          <w:tblCellMar>
            <w:top w:w="0" w:type="dxa"/>
            <w:left w:w="108" w:type="dxa"/>
            <w:bottom w:w="0" w:type="dxa"/>
            <w:right w:w="108" w:type="dxa"/>
          </w:tblCellMar>
        </w:tblPrEx>
        <w:trPr>
          <w:trHeight w:val="500" w:hRule="atLeast"/>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778"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47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241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392" w:type="pct"/>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5000" w:type="pct"/>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黑体" w:hAnsi="宋体" w:eastAsia="黑体" w:cs="黑体"/>
                <w:iCs/>
                <w:sz w:val="20"/>
              </w:rPr>
              <w:t>用</w:t>
            </w:r>
            <w:r>
              <w:rPr>
                <w:rFonts w:hint="eastAsia" w:ascii="黑体" w:hAnsi="宋体" w:eastAsia="黑体" w:cs="黑体"/>
                <w:iCs/>
                <w:kern w:val="0"/>
                <w:sz w:val="20"/>
              </w:rPr>
              <w:t>于视网膜病变的激光治疗，包括但不限于糖尿病视网膜病变、视网膜变性及裂孔、视网膜静脉阻塞等</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6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黑体" w:hAnsi="宋体" w:eastAsia="黑体" w:cs="黑体"/>
                <w:iCs/>
                <w:kern w:val="0"/>
                <w:sz w:val="20"/>
              </w:rPr>
              <w:t>具备NMPA(CFDA)认证，同时具备FDA或CE认证</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Cs/>
                <w:sz w:val="20"/>
                <w:lang w:eastAsia="zh-CN"/>
              </w:rPr>
            </w:pPr>
            <w:r>
              <w:rPr>
                <w:rFonts w:hint="eastAsia" w:ascii="黑体" w:hAnsi="宋体" w:eastAsia="黑体" w:cs="黑体"/>
                <w:iCs/>
                <w:sz w:val="20"/>
                <w:lang w:eastAsia="zh-CN"/>
              </w:rPr>
              <w:t>注册证及证书</w:t>
            </w: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激光类型</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固体激光</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激光波长</w:t>
            </w:r>
          </w:p>
        </w:tc>
        <w:tc>
          <w:tcPr>
            <w:tcW w:w="425" w:type="pct"/>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绿光≥530nm；</w:t>
            </w:r>
          </w:p>
          <w:p>
            <w:pPr>
              <w:rPr>
                <w:rFonts w:ascii="黑体" w:hAnsi="宋体" w:eastAsia="黑体" w:cs="黑体"/>
                <w:iCs/>
                <w:kern w:val="0"/>
                <w:sz w:val="20"/>
              </w:rPr>
            </w:pPr>
            <w:r>
              <w:rPr>
                <w:rFonts w:hint="eastAsia" w:ascii="黑体" w:hAnsi="宋体" w:eastAsia="黑体" w:cs="黑体"/>
                <w:iCs/>
                <w:kern w:val="0"/>
                <w:sz w:val="20"/>
              </w:rPr>
              <w:t>黄光≥570nm；</w:t>
            </w:r>
          </w:p>
          <w:p>
            <w:pPr>
              <w:rPr>
                <w:rFonts w:ascii="黑体" w:hAnsi="宋体" w:eastAsia="黑体" w:cs="黑体"/>
                <w:iCs/>
                <w:kern w:val="0"/>
                <w:sz w:val="20"/>
              </w:rPr>
            </w:pPr>
            <w:r>
              <w:rPr>
                <w:rFonts w:hint="eastAsia" w:ascii="黑体" w:hAnsi="宋体" w:eastAsia="黑体" w:cs="黑体"/>
                <w:iCs/>
                <w:kern w:val="0"/>
                <w:sz w:val="20"/>
              </w:rPr>
              <w:t>红光≥655nm</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26"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激光发射模式</w:t>
            </w:r>
          </w:p>
        </w:tc>
        <w:tc>
          <w:tcPr>
            <w:tcW w:w="425"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包括但不限于单点、多点、连续、持续等</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26"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光斑直径</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w:t>
            </w:r>
            <w:r>
              <w:rPr>
                <w:rFonts w:ascii="黑体" w:hAnsi="宋体" w:eastAsia="黑体" w:cs="黑体"/>
                <w:iCs/>
                <w:kern w:val="0"/>
                <w:sz w:val="20"/>
              </w:rPr>
              <w:t>50-</w:t>
            </w:r>
            <w:r>
              <w:rPr>
                <w:rFonts w:hint="eastAsia" w:ascii="黑体" w:hAnsi="宋体" w:eastAsia="黑体" w:cs="黑体"/>
                <w:iCs/>
                <w:kern w:val="0"/>
                <w:sz w:val="20"/>
              </w:rPr>
              <w:t>10</w:t>
            </w:r>
            <w:r>
              <w:rPr>
                <w:rFonts w:ascii="黑体" w:hAnsi="宋体" w:eastAsia="黑体" w:cs="黑体"/>
                <w:iCs/>
                <w:kern w:val="0"/>
                <w:sz w:val="20"/>
              </w:rPr>
              <w:t>00</w:t>
            </w:r>
            <w:r>
              <w:rPr>
                <w:rFonts w:hint="eastAsia" w:ascii="黑体" w:hAnsi="宋体" w:eastAsia="黑体" w:cs="黑体"/>
                <w:iCs/>
                <w:kern w:val="0"/>
                <w:sz w:val="20"/>
              </w:rPr>
              <w:t>）μ</w:t>
            </w:r>
            <w:r>
              <w:rPr>
                <w:rFonts w:ascii="黑体" w:hAnsi="宋体" w:eastAsia="黑体" w:cs="黑体"/>
                <w:iCs/>
                <w:kern w:val="0"/>
                <w:sz w:val="20"/>
              </w:rPr>
              <w:t>m</w:t>
            </w:r>
            <w:r>
              <w:rPr>
                <w:rFonts w:hint="eastAsia" w:ascii="黑体" w:hAnsi="宋体" w:eastAsia="黑体" w:cs="黑体"/>
                <w:iCs/>
                <w:kern w:val="0"/>
                <w:sz w:val="20"/>
              </w:rPr>
              <w:t>，连续可调</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26"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激光功率</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Cs/>
                <w:kern w:val="0"/>
                <w:sz w:val="20"/>
              </w:rPr>
            </w:pPr>
            <w:r>
              <w:rPr>
                <w:rFonts w:hint="eastAsia" w:ascii="黑体" w:hAnsi="宋体" w:eastAsia="黑体" w:cs="黑体"/>
                <w:iCs/>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满足或优于</w:t>
            </w:r>
          </w:p>
          <w:p>
            <w:pPr>
              <w:rPr>
                <w:rFonts w:ascii="黑体" w:hAnsi="宋体" w:eastAsia="黑体" w:cs="黑体"/>
                <w:iCs/>
                <w:kern w:val="0"/>
                <w:sz w:val="20"/>
              </w:rPr>
            </w:pPr>
            <w:r>
              <w:rPr>
                <w:rFonts w:hint="eastAsia" w:ascii="黑体" w:hAnsi="宋体" w:eastAsia="黑体" w:cs="黑体"/>
                <w:iCs/>
                <w:kern w:val="0"/>
                <w:sz w:val="20"/>
              </w:rPr>
              <w:t>绿光（50-1500）mW；</w:t>
            </w:r>
          </w:p>
          <w:p>
            <w:pPr>
              <w:rPr>
                <w:rFonts w:ascii="黑体" w:hAnsi="宋体" w:eastAsia="黑体" w:cs="黑体"/>
                <w:iCs/>
                <w:kern w:val="0"/>
                <w:sz w:val="20"/>
              </w:rPr>
            </w:pPr>
            <w:r>
              <w:rPr>
                <w:rFonts w:hint="eastAsia" w:ascii="黑体" w:hAnsi="宋体" w:eastAsia="黑体" w:cs="黑体"/>
                <w:iCs/>
                <w:kern w:val="0"/>
                <w:sz w:val="20"/>
              </w:rPr>
              <w:t>黄光（50-1000）mW；</w:t>
            </w:r>
          </w:p>
          <w:p>
            <w:pPr>
              <w:rPr>
                <w:rFonts w:ascii="黑体" w:hAnsi="宋体" w:eastAsia="黑体" w:cs="黑体"/>
                <w:iCs/>
                <w:kern w:val="0"/>
                <w:sz w:val="20"/>
              </w:rPr>
            </w:pPr>
            <w:r>
              <w:rPr>
                <w:rFonts w:hint="eastAsia" w:ascii="黑体" w:hAnsi="宋体" w:eastAsia="黑体" w:cs="黑体"/>
                <w:iCs/>
                <w:kern w:val="0"/>
                <w:sz w:val="20"/>
              </w:rPr>
              <w:t>红光（50-800）mW</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激光控制台</w:t>
            </w:r>
          </w:p>
        </w:tc>
        <w:tc>
          <w:tcPr>
            <w:tcW w:w="425"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高清滤光镜</w:t>
            </w:r>
          </w:p>
        </w:tc>
        <w:tc>
          <w:tcPr>
            <w:tcW w:w="425"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脉冲宽度</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在（0.01-3）s之间连续可调</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脉冲频率</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在（0.05-1）s之间连续可调</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瞄准激光</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红光，波长≥630nm</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491"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瞄准光最大功率</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jc w:val="left"/>
              <w:rPr>
                <w:rFonts w:ascii="黑体" w:hAnsi="宋体" w:eastAsia="黑体" w:cs="黑体"/>
                <w:iCs/>
                <w:kern w:val="0"/>
                <w:sz w:val="20"/>
              </w:rPr>
            </w:pPr>
            <w:r>
              <w:rPr>
                <w:rFonts w:hint="eastAsia" w:ascii="黑体" w:hAnsi="宋体" w:eastAsia="黑体" w:cs="黑体"/>
                <w:iCs/>
                <w:kern w:val="0"/>
                <w:sz w:val="20"/>
              </w:rPr>
              <w:t>≤1mV</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冷却方式</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半导体冷却或空气冷却</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16</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裂隙灯</w:t>
            </w:r>
          </w:p>
        </w:tc>
        <w:tc>
          <w:tcPr>
            <w:tcW w:w="425"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标配裂隙灯，放大倍数≥5级，调节档数≥5级</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17</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独立激光腔</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具备，腔室≥3个</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18</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触摸屏控制</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19</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锐亮技术</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20</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预设治疗参数功能</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276"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21</w:t>
            </w:r>
          </w:p>
        </w:tc>
        <w:tc>
          <w:tcPr>
            <w:tcW w:w="76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配置要求</w:t>
            </w:r>
          </w:p>
        </w:tc>
        <w:tc>
          <w:tcPr>
            <w:tcW w:w="4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w:t>
            </w:r>
          </w:p>
        </w:tc>
        <w:tc>
          <w:tcPr>
            <w:tcW w:w="2459" w:type="pct"/>
            <w:gridSpan w:val="4"/>
            <w:tcBorders>
              <w:top w:val="single" w:color="000000" w:sz="4" w:space="0"/>
              <w:left w:val="single" w:color="000000" w:sz="4" w:space="0"/>
              <w:bottom w:val="single" w:color="000000" w:sz="4" w:space="0"/>
              <w:right w:val="single" w:color="000000" w:sz="4" w:space="0"/>
            </w:tcBorders>
            <w:vAlign w:val="center"/>
          </w:tcPr>
          <w:p>
            <w:pPr>
              <w:jc w:val="left"/>
              <w:rPr>
                <w:rFonts w:ascii="黑体" w:hAnsi="宋体" w:eastAsia="黑体" w:cs="黑体"/>
                <w:iCs/>
                <w:kern w:val="0"/>
                <w:sz w:val="20"/>
              </w:rPr>
            </w:pPr>
            <w:r>
              <w:rPr>
                <w:rFonts w:hint="eastAsia" w:ascii="黑体" w:hAnsi="宋体" w:eastAsia="黑体" w:cs="黑体"/>
                <w:iCs/>
                <w:kern w:val="0"/>
                <w:sz w:val="20"/>
              </w:rPr>
              <w:t>主机1台，裂隙灯1台 ，脚踏1个，满足设备安装、正常运行、临床使用和数据保存所需的配套设施配件1套</w:t>
            </w:r>
          </w:p>
        </w:tc>
        <w:tc>
          <w:tcPr>
            <w:tcW w:w="39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67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889"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注：</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1.★指标为必须响应指标，任意一项不满足要求即做废标处理；</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2.★及▲标识的指标，无法明确的默认由企业提供承诺；</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3.经济要求不接受企业负偏离。</w:t>
            </w:r>
          </w:p>
        </w:tc>
      </w:tr>
    </w:tbl>
    <w:p>
      <w:pPr>
        <w:pStyle w:val="2"/>
        <w:numPr>
          <w:ilvl w:val="0"/>
          <w:numId w:val="0"/>
        </w:numPr>
      </w:pPr>
    </w:p>
    <w:p>
      <w:pPr>
        <w:spacing w:line="560" w:lineRule="exact"/>
        <w:ind w:firstLine="420"/>
      </w:pPr>
    </w:p>
    <w:p>
      <w:pPr>
        <w:pStyle w:val="2"/>
        <w:sectPr>
          <w:headerReference r:id="rId3" w:type="default"/>
          <w:pgSz w:w="11906" w:h="16838"/>
          <w:pgMar w:top="1418" w:right="1134" w:bottom="1418" w:left="1418" w:header="851" w:footer="992" w:gutter="0"/>
          <w:cols w:space="720" w:num="1"/>
          <w:docGrid w:linePitch="312" w:charSpace="0"/>
        </w:sectPr>
      </w:pPr>
      <w:bookmarkStart w:id="17" w:name="_GoBack"/>
      <w:bookmarkEnd w:id="17"/>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六</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采购项目商务和技术要求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2F4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annotation text"/>
    <w:basedOn w:val="1"/>
    <w:qFormat/>
    <w:uiPriority w:val="0"/>
    <w:pPr>
      <w:jc w:val="left"/>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2025-06-27T09:59:02Z</dcterms:created>
  <dc:creator>admin</dc:creator>
  <cp:lastModifiedBy>admin</cp:lastModifiedBy>
  <dcterms:modified xsi:type="dcterms:W3CDTF">2025-06-27T09:59:38Z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