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i w:val="0"/>
          <w:iCs/>
          <w:sz w:val="28"/>
          <w:szCs w:val="28"/>
          <w:highlight w:val="none"/>
        </w:rPr>
      </w:pPr>
      <w:r>
        <w:rPr>
          <w:rFonts w:hint="eastAsia" w:ascii="宋体" w:hAnsi="宋体" w:eastAsia="宋体" w:cs="宋体"/>
          <w:bCs/>
          <w:i w:val="0"/>
          <w:iCs/>
          <w:sz w:val="28"/>
          <w:szCs w:val="28"/>
          <w:highlight w:val="none"/>
        </w:rPr>
        <w:t>按照采购单位提供的技术要求拟制。关键性技术指标参数前标记“</w:t>
      </w:r>
      <w:r>
        <w:rPr>
          <w:rFonts w:hint="eastAsia" w:asciiTheme="minorEastAsia" w:hAnsiTheme="minorEastAsia" w:eastAsiaTheme="minorEastAsia" w:cstheme="minorEastAsia"/>
          <w:color w:val="000000"/>
          <w:kern w:val="0"/>
          <w:sz w:val="21"/>
          <w:szCs w:val="21"/>
          <w:lang w:eastAsia="zh-CN" w:bidi="ar"/>
        </w:rPr>
        <w:t>★</w:t>
      </w:r>
      <w:r>
        <w:rPr>
          <w:rFonts w:hint="eastAsia" w:ascii="宋体" w:hAnsi="宋体" w:eastAsia="宋体" w:cs="宋体"/>
          <w:bCs/>
          <w:i w:val="0"/>
          <w:iCs/>
          <w:sz w:val="28"/>
          <w:szCs w:val="28"/>
          <w:highlight w:val="none"/>
        </w:rPr>
        <w:t>”符号，一般性指标参数前不作标记。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bCs/>
          <w:i w:val="0"/>
          <w:iCs/>
          <w:sz w:val="28"/>
          <w:szCs w:val="28"/>
          <w:highlight w:val="none"/>
          <w:lang w:eastAsia="zh-CN"/>
        </w:rPr>
      </w:pPr>
      <w:r>
        <w:rPr>
          <w:rFonts w:hint="eastAsia"/>
          <w:sz w:val="28"/>
          <w:szCs w:val="28"/>
        </w:rPr>
        <w:t>带“</w:t>
      </w:r>
      <w:r>
        <w:rPr>
          <w:rFonts w:hint="eastAsia" w:asciiTheme="minorEastAsia" w:hAnsiTheme="minorEastAsia" w:eastAsiaTheme="minorEastAsia" w:cstheme="minorEastAsia"/>
          <w:color w:val="000000"/>
          <w:kern w:val="0"/>
          <w:sz w:val="21"/>
          <w:szCs w:val="21"/>
          <w:lang w:eastAsia="zh-CN" w:bidi="ar"/>
        </w:rPr>
        <w:t>★</w:t>
      </w:r>
      <w:r>
        <w:rPr>
          <w:rFonts w:hint="eastAsia"/>
          <w:sz w:val="28"/>
          <w:szCs w:val="28"/>
        </w:rPr>
        <w:t>”</w:t>
      </w:r>
      <w:r>
        <w:rPr>
          <w:rFonts w:hint="eastAsia"/>
          <w:sz w:val="28"/>
          <w:szCs w:val="28"/>
          <w:lang w:eastAsia="zh-CN"/>
        </w:rPr>
        <w:t>和</w:t>
      </w:r>
      <w:r>
        <w:rPr>
          <w:rFonts w:hint="eastAsia"/>
          <w:sz w:val="28"/>
          <w:szCs w:val="28"/>
        </w:rPr>
        <w:t>“</w:t>
      </w:r>
      <w:r>
        <w:rPr>
          <w:rFonts w:hint="eastAsia" w:asciiTheme="minorEastAsia" w:hAnsiTheme="minorEastAsia" w:eastAsiaTheme="minorEastAsia" w:cstheme="minorEastAsia"/>
          <w:color w:val="000000"/>
          <w:kern w:val="0"/>
          <w:sz w:val="21"/>
          <w:szCs w:val="21"/>
          <w:lang w:eastAsia="zh-CN" w:bidi="ar"/>
        </w:rPr>
        <w:t>▲</w:t>
      </w:r>
      <w:r>
        <w:rPr>
          <w:rFonts w:hint="eastAsia"/>
          <w:sz w:val="28"/>
          <w:szCs w:val="28"/>
        </w:rPr>
        <w:t>”条款</w:t>
      </w:r>
      <w:r>
        <w:rPr>
          <w:rFonts w:hint="eastAsia" w:ascii="宋体" w:hAnsi="宋体" w:eastAsia="宋体" w:cs="宋体"/>
          <w:bCs/>
          <w:i w:val="0"/>
          <w:iCs/>
          <w:sz w:val="28"/>
          <w:szCs w:val="28"/>
          <w:highlight w:val="none"/>
        </w:rPr>
        <w:t>需提供技术支持材料</w:t>
      </w:r>
      <w:r>
        <w:rPr>
          <w:rFonts w:hint="eastAsia" w:ascii="宋体" w:hAnsi="宋体" w:eastAsia="宋体" w:cs="宋体"/>
          <w:bCs/>
          <w:i w:val="0"/>
          <w:iCs/>
          <w:sz w:val="28"/>
          <w:szCs w:val="28"/>
          <w:highlight w:val="none"/>
          <w:lang w:eastAsia="zh-CN"/>
        </w:rPr>
        <w:t>【①技术要求中明确的</w:t>
      </w:r>
      <w:r>
        <w:rPr>
          <w:rFonts w:hint="eastAsia" w:ascii="宋体" w:hAnsi="宋体" w:eastAsia="宋体" w:cs="宋体"/>
          <w:bCs/>
          <w:i w:val="0"/>
          <w:iCs/>
          <w:sz w:val="28"/>
          <w:szCs w:val="28"/>
          <w:highlight w:val="none"/>
        </w:rPr>
        <w:t>技术支持材料以具体项目为准</w:t>
      </w:r>
      <w:r>
        <w:rPr>
          <w:rFonts w:hint="eastAsia" w:ascii="宋体" w:hAnsi="宋体" w:eastAsia="宋体" w:cs="宋体"/>
          <w:bCs/>
          <w:i w:val="0"/>
          <w:iCs/>
          <w:sz w:val="28"/>
          <w:szCs w:val="28"/>
          <w:highlight w:val="none"/>
          <w:lang w:eastAsia="zh-CN"/>
        </w:rPr>
        <w:t>；②未明确的</w:t>
      </w:r>
      <w:r>
        <w:rPr>
          <w:rFonts w:hint="eastAsia" w:ascii="宋体" w:hAnsi="宋体" w:eastAsia="宋体" w:cs="宋体"/>
          <w:bCs/>
          <w:i w:val="0"/>
          <w:iCs/>
          <w:sz w:val="28"/>
          <w:szCs w:val="28"/>
          <w:highlight w:val="none"/>
        </w:rPr>
        <w:t>技术支持材料可以从（不限于）以下支持材料选择：产品规格表、产品宣传彩页、技术白皮书、制造商官方网站发布的产品信息、说明书等或检测机构出具的检测报告等技术材料支持的</w:t>
      </w:r>
      <w:r>
        <w:rPr>
          <w:rFonts w:hint="eastAsia" w:ascii="宋体" w:hAnsi="宋体" w:eastAsia="宋体" w:cs="宋体"/>
          <w:bCs/>
          <w:i w:val="0"/>
          <w:iCs/>
          <w:sz w:val="28"/>
          <w:szCs w:val="28"/>
          <w:highlight w:val="none"/>
          <w:lang w:eastAsia="zh-CN"/>
        </w:rPr>
        <w:t>（定制产品除外</w:t>
      </w:r>
      <w:r>
        <w:rPr>
          <w:rFonts w:hint="eastAsia" w:ascii="宋体" w:hAnsi="宋体" w:eastAsia="宋体" w:cs="宋体"/>
          <w:bCs/>
          <w:i w:val="0"/>
          <w:iCs/>
          <w:sz w:val="28"/>
          <w:szCs w:val="28"/>
          <w:highlight w:val="none"/>
        </w:rPr>
        <w:t>）</w:t>
      </w:r>
      <w:r>
        <w:rPr>
          <w:rFonts w:hint="eastAsia" w:ascii="宋体" w:hAnsi="宋体" w:eastAsia="宋体" w:cs="宋体"/>
          <w:bCs/>
          <w:i w:val="0"/>
          <w:iCs/>
          <w:sz w:val="28"/>
          <w:szCs w:val="28"/>
          <w:highlight w:val="none"/>
          <w:lang w:eastAsia="zh-CN"/>
        </w:rPr>
        <w:t>；③定制产品的技术支持材料可提供响应承诺。】</w:t>
      </w:r>
    </w:p>
    <w:tbl>
      <w:tblPr>
        <w:tblStyle w:val="4"/>
        <w:tblpPr w:leftFromText="180" w:rightFromText="180" w:vertAnchor="text" w:horzAnchor="page" w:tblpX="1522" w:tblpY="554"/>
        <w:tblOverlap w:val="never"/>
        <w:tblW w:w="4997" w:type="pct"/>
        <w:tblInd w:w="0" w:type="dxa"/>
        <w:tblLayout w:type="autofit"/>
        <w:tblCellMar>
          <w:top w:w="0" w:type="dxa"/>
          <w:left w:w="108" w:type="dxa"/>
          <w:bottom w:w="0" w:type="dxa"/>
          <w:right w:w="108" w:type="dxa"/>
        </w:tblCellMar>
      </w:tblPr>
      <w:tblGrid>
        <w:gridCol w:w="553"/>
        <w:gridCol w:w="1829"/>
        <w:gridCol w:w="683"/>
        <w:gridCol w:w="5092"/>
        <w:gridCol w:w="1408"/>
      </w:tblGrid>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b/>
                <w:bCs/>
                <w:sz w:val="21"/>
                <w:szCs w:val="21"/>
                <w:highlight w:val="none"/>
              </w:rPr>
            </w:pPr>
            <w:r>
              <w:rPr>
                <w:rFonts w:hint="eastAsia" w:ascii="宋体" w:hAnsi="宋体" w:eastAsia="宋体" w:cs="宋体"/>
                <w:b/>
                <w:bCs/>
                <w:kern w:val="0"/>
                <w:sz w:val="21"/>
                <w:szCs w:val="21"/>
                <w:highlight w:val="none"/>
                <w:lang w:bidi="ar"/>
              </w:rPr>
              <w:t>序号</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b/>
                <w:bCs/>
                <w:kern w:val="0"/>
                <w:sz w:val="21"/>
                <w:szCs w:val="21"/>
                <w:highlight w:val="none"/>
                <w:lang w:bidi="ar"/>
              </w:rPr>
            </w:pPr>
            <w:r>
              <w:rPr>
                <w:rFonts w:hint="eastAsia" w:ascii="宋体" w:hAnsi="宋体" w:eastAsia="宋体" w:cs="宋体"/>
                <w:b/>
                <w:bCs/>
                <w:kern w:val="0"/>
                <w:sz w:val="21"/>
                <w:szCs w:val="21"/>
                <w:highlight w:val="none"/>
                <w:lang w:bidi="ar"/>
              </w:rPr>
              <w:t>需求名称</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b/>
                <w:bCs/>
                <w:kern w:val="0"/>
                <w:sz w:val="21"/>
                <w:szCs w:val="21"/>
                <w:highlight w:val="none"/>
                <w:lang w:bidi="ar"/>
              </w:rPr>
            </w:pPr>
            <w:r>
              <w:rPr>
                <w:rFonts w:hint="eastAsia" w:ascii="宋体" w:hAnsi="宋体" w:eastAsia="宋体" w:cs="宋体"/>
                <w:b/>
                <w:bCs/>
                <w:kern w:val="0"/>
                <w:sz w:val="21"/>
                <w:szCs w:val="21"/>
                <w:highlight w:val="none"/>
                <w:lang w:bidi="ar"/>
              </w:rPr>
              <w:t>参数</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b/>
                <w:bCs/>
                <w:sz w:val="21"/>
                <w:szCs w:val="21"/>
                <w:highlight w:val="none"/>
              </w:rPr>
            </w:pPr>
            <w:r>
              <w:rPr>
                <w:rFonts w:hint="eastAsia" w:ascii="宋体" w:hAnsi="宋体" w:eastAsia="宋体" w:cs="宋体"/>
                <w:b/>
                <w:bCs/>
                <w:kern w:val="0"/>
                <w:sz w:val="21"/>
                <w:szCs w:val="21"/>
                <w:highlight w:val="none"/>
                <w:lang w:bidi="ar"/>
              </w:rPr>
              <w:t>性质</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b/>
                <w:bCs/>
                <w:sz w:val="21"/>
                <w:szCs w:val="21"/>
                <w:highlight w:val="none"/>
              </w:rPr>
            </w:pPr>
            <w:r>
              <w:rPr>
                <w:rFonts w:hint="eastAsia" w:ascii="宋体" w:hAnsi="宋体" w:eastAsia="宋体" w:cs="宋体"/>
                <w:b/>
                <w:bCs/>
                <w:kern w:val="0"/>
                <w:sz w:val="21"/>
                <w:szCs w:val="21"/>
                <w:highlight w:val="none"/>
                <w:lang w:bidi="ar"/>
              </w:rPr>
              <w:t>需求具体内容</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b/>
                <w:bCs/>
                <w:sz w:val="21"/>
                <w:szCs w:val="21"/>
                <w:highlight w:val="none"/>
              </w:rPr>
            </w:pPr>
            <w:r>
              <w:rPr>
                <w:rFonts w:hint="eastAsia" w:ascii="宋体" w:hAnsi="宋体" w:eastAsia="宋体" w:cs="宋体"/>
                <w:b/>
                <w:bCs/>
                <w:kern w:val="0"/>
                <w:sz w:val="21"/>
                <w:szCs w:val="21"/>
                <w:highlight w:val="none"/>
                <w:lang w:bidi="ar"/>
              </w:rPr>
              <w:t>备注（证明材料等其他要求）</w:t>
            </w:r>
          </w:p>
        </w:tc>
      </w:tr>
      <w:tr>
        <w:tblPrEx>
          <w:tblCellMar>
            <w:top w:w="0" w:type="dxa"/>
            <w:left w:w="108" w:type="dxa"/>
            <w:bottom w:w="0" w:type="dxa"/>
            <w:right w:w="108" w:type="dxa"/>
          </w:tblCellMar>
        </w:tblPrEx>
        <w:trPr>
          <w:trHeight w:val="500" w:hRule="atLeast"/>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b/>
                <w:bCs/>
                <w:kern w:val="0"/>
                <w:sz w:val="21"/>
                <w:szCs w:val="21"/>
                <w:highlight w:val="none"/>
                <w:lang w:bidi="ar"/>
              </w:rPr>
            </w:pPr>
            <w:r>
              <w:rPr>
                <w:rFonts w:hint="eastAsia" w:ascii="宋体" w:hAnsi="宋体" w:eastAsia="宋体" w:cs="宋体"/>
                <w:b/>
                <w:bCs/>
                <w:kern w:val="0"/>
                <w:sz w:val="21"/>
                <w:szCs w:val="21"/>
                <w:highlight w:val="none"/>
                <w:lang w:bidi="ar"/>
              </w:rPr>
              <w:t>技术要求</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1</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基本要求</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pStyle w:val="6"/>
              <w:keepNext w:val="0"/>
              <w:keepLines w:val="0"/>
              <w:pageBreakBefore w:val="0"/>
              <w:numPr>
                <w:ilvl w:val="0"/>
                <w:numId w:val="0"/>
              </w:numPr>
              <w:kinsoku/>
              <w:wordWrap/>
              <w:overflowPunct/>
              <w:topLinePunct w:val="0"/>
              <w:bidi w:val="0"/>
              <w:snapToGrid/>
              <w:spacing w:line="320" w:lineRule="exact"/>
              <w:rPr>
                <w:rFonts w:hint="eastAsia" w:ascii="宋体" w:hAnsi="宋体" w:eastAsia="宋体" w:cs="宋体"/>
                <w:i/>
                <w:iCs/>
                <w:color w:val="0000FF"/>
                <w:sz w:val="21"/>
                <w:szCs w:val="21"/>
                <w:highlight w:val="none"/>
                <w:lang w:val="en-US"/>
              </w:rPr>
            </w:pPr>
            <w:r>
              <w:rPr>
                <w:rFonts w:hint="eastAsia" w:ascii="宋体" w:hAnsi="宋体" w:eastAsia="宋体" w:cs="宋体"/>
                <w:i w:val="0"/>
                <w:iCs w:val="0"/>
                <w:sz w:val="21"/>
                <w:szCs w:val="21"/>
                <w:highlight w:val="none"/>
                <w:lang w:val="en-US" w:eastAsia="zh-CN"/>
              </w:rPr>
              <w:t>交付：长效抗菌抗病毒涂层配套的喷涂装置原理样机1台及技术文档初稿1份；运输包装盒储存装置原理样机1台及技术文档初稿1份；喷涂效果检验装置原理样机1台及技术文档初稿1份；全套装置的标准操作流程初稿1份以及44-51条第三方检测报告。</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76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2</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ind w:firstLine="210" w:firstLineChars="100"/>
              <w:jc w:val="left"/>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val="en-US" w:eastAsia="zh-CN" w:bidi="ar"/>
              </w:rPr>
              <w:t>喷涂装置</w:t>
            </w:r>
            <w:r>
              <w:rPr>
                <w:rFonts w:hint="eastAsia" w:ascii="宋体" w:hAnsi="宋体" w:eastAsia="宋体" w:cs="宋体"/>
                <w:kern w:val="0"/>
                <w:sz w:val="21"/>
                <w:szCs w:val="21"/>
                <w:highlight w:val="none"/>
                <w:lang w:bidi="ar"/>
              </w:rPr>
              <w:t>结构材质选型设计1</w:t>
            </w:r>
          </w:p>
          <w:p>
            <w:pPr>
              <w:keepNext w:val="0"/>
              <w:keepLines w:val="0"/>
              <w:pageBreakBefore w:val="0"/>
              <w:widowControl/>
              <w:kinsoku/>
              <w:wordWrap/>
              <w:overflowPunct/>
              <w:topLinePunct w:val="0"/>
              <w:bidi w:val="0"/>
              <w:snapToGrid/>
              <w:spacing w:line="320" w:lineRule="exact"/>
              <w:ind w:firstLine="210" w:firstLineChars="100"/>
              <w:jc w:val="left"/>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箱体内外壳</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sz w:val="21"/>
                <w:szCs w:val="21"/>
                <w:highlight w:val="none"/>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外观符合安全隐蔽要求。</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3</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喷涂装置结构材质选型设计1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箱体内外壳</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color w:val="000000"/>
                <w:kern w:val="0"/>
                <w:sz w:val="21"/>
                <w:szCs w:val="21"/>
                <w:highlight w:val="none"/>
              </w:rPr>
              <w:t>内外壳选型应兼顾轻便轻量化的同时应满足自然环境适应性等技术指标要求</w:t>
            </w:r>
            <w:r>
              <w:rPr>
                <w:rFonts w:hint="eastAsia" w:ascii="宋体" w:hAnsi="宋体" w:eastAsia="宋体" w:cs="宋体"/>
                <w:color w:val="000000"/>
                <w:kern w:val="0"/>
                <w:sz w:val="21"/>
                <w:szCs w:val="21"/>
                <w:highlight w:val="none"/>
                <w:lang w:eastAsia="zh-CN"/>
              </w:rPr>
              <w:t>。</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4</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喷涂装置结构材质选型设计1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箱体内外壳</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药液储存桶与药液兼容性好，且能满足药液的储存要求</w:t>
            </w:r>
            <w:r>
              <w:rPr>
                <w:rFonts w:hint="eastAsia" w:ascii="宋体" w:hAnsi="宋体" w:eastAsia="宋体" w:cs="宋体"/>
                <w:color w:val="000000"/>
                <w:kern w:val="0"/>
                <w:sz w:val="21"/>
                <w:szCs w:val="21"/>
                <w:highlight w:val="none"/>
                <w:lang w:eastAsia="zh-CN"/>
              </w:rPr>
              <w:t>。</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5</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喷涂装置结构材质选型设计1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箱体内外壳</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喷涂装置（不含万向轮）尺寸≦500mm×500mm×300mm</w:t>
            </w:r>
            <w:r>
              <w:rPr>
                <w:rFonts w:hint="eastAsia" w:ascii="宋体" w:hAnsi="宋体" w:eastAsia="宋体" w:cs="宋体"/>
                <w:color w:val="000000"/>
                <w:kern w:val="0"/>
                <w:sz w:val="21"/>
                <w:szCs w:val="21"/>
                <w:highlight w:val="none"/>
                <w:lang w:eastAsia="zh-CN"/>
              </w:rPr>
              <w:t>。</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6</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喷涂装置结构材质选型设计1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箱体内外壳</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rPr>
              <w:t>尽量轻量化，采用标准件、通用件、借用件</w:t>
            </w:r>
            <w:r>
              <w:rPr>
                <w:rFonts w:hint="eastAsia" w:ascii="宋体" w:hAnsi="宋体" w:eastAsia="宋体" w:cs="宋体"/>
                <w:color w:val="000000"/>
                <w:kern w:val="0"/>
                <w:sz w:val="21"/>
                <w:szCs w:val="21"/>
                <w:highlight w:val="none"/>
                <w:lang w:eastAsia="zh-CN"/>
              </w:rPr>
              <w:t>。</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7</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喷涂装置结构材质选型设计1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箱体内外壳</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整体重量≦20KG，其中药液存储罐容量≧8L。</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8</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w:t>
            </w:r>
            <w:r>
              <w:rPr>
                <w:rFonts w:hint="eastAsia" w:ascii="宋体" w:hAnsi="宋体" w:eastAsia="宋体" w:cs="宋体"/>
                <w:kern w:val="0"/>
                <w:sz w:val="21"/>
                <w:szCs w:val="21"/>
                <w:highlight w:val="none"/>
                <w:lang w:bidi="ar"/>
              </w:rPr>
              <w:t>结构材质选型设计</w:t>
            </w:r>
            <w:r>
              <w:rPr>
                <w:rFonts w:hint="eastAsia" w:ascii="宋体" w:hAnsi="宋体" w:eastAsia="宋体" w:cs="宋体"/>
                <w:kern w:val="0"/>
                <w:sz w:val="21"/>
                <w:szCs w:val="21"/>
                <w:highlight w:val="none"/>
                <w:lang w:val="en-US" w:eastAsia="zh-CN" w:bidi="ar"/>
              </w:rPr>
              <w:t>2</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背带结构</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iCs/>
                <w:color w:val="0000FF"/>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背带结构设计应满足便携式喷涂装置的背负强度和快速拆卸及背负的便捷要求；背带的长度应满足适应性调节要求，设计应符合人体工程学要求。</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9</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w:t>
            </w:r>
            <w:r>
              <w:rPr>
                <w:rFonts w:hint="eastAsia" w:ascii="宋体" w:hAnsi="宋体" w:eastAsia="宋体" w:cs="宋体"/>
                <w:kern w:val="0"/>
                <w:sz w:val="21"/>
                <w:szCs w:val="21"/>
                <w:highlight w:val="none"/>
                <w:lang w:bidi="ar"/>
              </w:rPr>
              <w:t>结构材质选型设计</w:t>
            </w:r>
            <w:r>
              <w:rPr>
                <w:rFonts w:hint="eastAsia" w:ascii="宋体" w:hAnsi="宋体" w:eastAsia="宋体" w:cs="宋体"/>
                <w:kern w:val="0"/>
                <w:sz w:val="21"/>
                <w:szCs w:val="21"/>
                <w:highlight w:val="none"/>
                <w:lang w:val="en-US" w:eastAsia="zh-CN" w:bidi="ar"/>
              </w:rPr>
              <w:t>3</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后背衬板</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应符合人体工学结构，背部接触面应确保透气舒适度，支撑强度满足背负重量要求，并且支撑的部位需要有一定的柔韧度，可以缓解背负的压力。</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10</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w:t>
            </w:r>
            <w:r>
              <w:rPr>
                <w:rFonts w:hint="eastAsia" w:ascii="宋体" w:hAnsi="宋体" w:eastAsia="宋体" w:cs="宋体"/>
                <w:kern w:val="0"/>
                <w:sz w:val="21"/>
                <w:szCs w:val="21"/>
                <w:highlight w:val="none"/>
                <w:lang w:bidi="ar"/>
              </w:rPr>
              <w:t>结构材质选型设计</w:t>
            </w:r>
            <w:r>
              <w:rPr>
                <w:rFonts w:hint="eastAsia" w:ascii="宋体" w:hAnsi="宋体" w:eastAsia="宋体" w:cs="宋体"/>
                <w:kern w:val="0"/>
                <w:sz w:val="21"/>
                <w:szCs w:val="21"/>
                <w:highlight w:val="none"/>
                <w:lang w:val="en-US" w:eastAsia="zh-CN" w:bidi="ar"/>
              </w:rPr>
              <w:t>4</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喷枪、管道附件</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结构材质应与涂层兼容性良好。</w:t>
            </w:r>
          </w:p>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11</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w:t>
            </w:r>
            <w:r>
              <w:rPr>
                <w:rFonts w:hint="eastAsia" w:ascii="宋体" w:hAnsi="宋体" w:eastAsia="宋体" w:cs="宋体"/>
                <w:kern w:val="0"/>
                <w:sz w:val="21"/>
                <w:szCs w:val="21"/>
                <w:highlight w:val="none"/>
                <w:lang w:bidi="ar"/>
              </w:rPr>
              <w:t>结构材质选型设计</w:t>
            </w:r>
            <w:r>
              <w:rPr>
                <w:rFonts w:hint="eastAsia" w:ascii="宋体" w:hAnsi="宋体" w:eastAsia="宋体" w:cs="宋体"/>
                <w:kern w:val="0"/>
                <w:sz w:val="21"/>
                <w:szCs w:val="21"/>
                <w:highlight w:val="none"/>
                <w:lang w:val="en-US" w:eastAsia="zh-CN" w:bidi="ar"/>
              </w:rPr>
              <w:t>4</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喷枪、管道附件</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喷枪、管道及内部容器应具备一定的保温功能，喷枪及管道附件应该具有较高的环境适应性，预防涂层低温冻结。</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12</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w:t>
            </w:r>
            <w:r>
              <w:rPr>
                <w:rFonts w:hint="eastAsia" w:ascii="宋体" w:hAnsi="宋体" w:eastAsia="宋体" w:cs="宋体"/>
                <w:kern w:val="0"/>
                <w:sz w:val="21"/>
                <w:szCs w:val="21"/>
                <w:highlight w:val="none"/>
                <w:lang w:bidi="ar"/>
              </w:rPr>
              <w:t>结构材质选型设计</w:t>
            </w:r>
            <w:r>
              <w:rPr>
                <w:rFonts w:hint="eastAsia" w:ascii="宋体" w:hAnsi="宋体" w:eastAsia="宋体" w:cs="宋体"/>
                <w:kern w:val="0"/>
                <w:sz w:val="21"/>
                <w:szCs w:val="21"/>
                <w:highlight w:val="none"/>
                <w:lang w:val="en-US" w:eastAsia="zh-CN" w:bidi="ar"/>
              </w:rPr>
              <w:t>5</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万向轮底盘</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kern w:val="0"/>
                <w:sz w:val="21"/>
                <w:szCs w:val="21"/>
                <w:highlight w:val="none"/>
                <w:lang w:bidi="ar"/>
              </w:rPr>
            </w:pP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底部应设置万向轮底盘，可以对方向进行调整，并且可以锁定，使其不会在静止情况下跑动。</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13</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w:t>
            </w:r>
            <w:r>
              <w:rPr>
                <w:rFonts w:hint="eastAsia" w:ascii="宋体" w:hAnsi="宋体" w:eastAsia="宋体" w:cs="宋体"/>
                <w:kern w:val="0"/>
                <w:sz w:val="21"/>
                <w:szCs w:val="21"/>
                <w:highlight w:val="none"/>
                <w:lang w:bidi="ar"/>
              </w:rPr>
              <w:t>结构材质选型设计</w:t>
            </w:r>
            <w:r>
              <w:rPr>
                <w:rFonts w:hint="eastAsia" w:ascii="宋体" w:hAnsi="宋体" w:eastAsia="宋体" w:cs="宋体"/>
                <w:kern w:val="0"/>
                <w:sz w:val="21"/>
                <w:szCs w:val="21"/>
                <w:highlight w:val="none"/>
                <w:lang w:val="en-US" w:eastAsia="zh-CN" w:bidi="ar"/>
              </w:rPr>
              <w:t>6</w:t>
            </w:r>
          </w:p>
          <w:p>
            <w:pPr>
              <w:keepNext w:val="0"/>
              <w:keepLines w:val="0"/>
              <w:pageBreakBefore w:val="0"/>
              <w:widowControl/>
              <w:kinsoku/>
              <w:wordWrap/>
              <w:overflowPunct/>
              <w:topLinePunct w:val="0"/>
              <w:bidi w:val="0"/>
              <w:snapToGrid/>
              <w:spacing w:line="320" w:lineRule="exact"/>
              <w:jc w:val="both"/>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可伸缩拖拉杆</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kern w:val="0"/>
                <w:sz w:val="21"/>
                <w:szCs w:val="21"/>
                <w:highlight w:val="none"/>
                <w:lang w:bidi="ar"/>
              </w:rPr>
            </w:pP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应设置可伸缩拖拉杆，方便拉取。</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758"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14</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喷涂装置主要功能单元设计1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加料单元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加固料入口:能满足固料大小且密闭性好。</w:t>
            </w:r>
          </w:p>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iCs/>
                <w:color w:val="0000FF"/>
                <w:kern w:val="0"/>
                <w:sz w:val="21"/>
                <w:szCs w:val="21"/>
                <w:highlight w:val="none"/>
                <w:lang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808"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15</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喷涂装置主要功能单元设计1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加料单元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加液料入口:能提供液料入口且不遗漏。</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16</w:t>
            </w:r>
          </w:p>
        </w:tc>
        <w:tc>
          <w:tcPr>
            <w:tcW w:w="95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喷涂装置主要功能单元设计2</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混匀单元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搅拌单元：要求固料和液料可以溶解，需要辅助功能搅拌使其固料可以充分的溶解混合。</w:t>
            </w:r>
          </w:p>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17</w:t>
            </w:r>
          </w:p>
        </w:tc>
        <w:tc>
          <w:tcPr>
            <w:tcW w:w="95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喷涂装置主要功能单元设计2</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混匀单元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散热单元：由于固料和液料在混合反应的过程中会产生一定的热量，需要设计散热的窗口使其可以加快冷却速度，可以达到使用的效果。</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18</w:t>
            </w:r>
          </w:p>
        </w:tc>
        <w:tc>
          <w:tcPr>
            <w:tcW w:w="95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喷涂装置主要功能单元设计2</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混匀单元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沉淀过滤功能单元：固料和液料在溶解的过程中可能会存在，溶解不充分的情况，需要有过滤网或者其他的方式进行沉淀物和液体进行分离，使用便携式喷涂装置的过程中装置不能受到影响造成设备损坏的可能性。</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19</w:t>
            </w:r>
          </w:p>
        </w:tc>
        <w:tc>
          <w:tcPr>
            <w:tcW w:w="95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喷涂装置主要功能单元设计2</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混匀单元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温感温控单元：固料和液料使用环境下不能存在冰点凝结的情况，涂层承载的容器应具备温度保持和加热的功能，可以对其温度进行一定范围的控制，同时可以对承载容器内的涂层温度进行采集。</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20</w:t>
            </w:r>
          </w:p>
        </w:tc>
        <w:tc>
          <w:tcPr>
            <w:tcW w:w="95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喷涂装置主要功能单元设计2</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混匀单元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液位感预警提醒单元：应具备液位提示告警的功能，由于便携式喷涂装置在作业的过程中是背负使用的，使用者无法观察到涂层消耗情况，因此需要具备液位提示告警功能，在涂层消耗到一定量的时候，需要发出告警提示。</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21</w:t>
            </w:r>
          </w:p>
        </w:tc>
        <w:tc>
          <w:tcPr>
            <w:tcW w:w="95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喷涂装置主要功能单元设计2</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混匀单元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除入口外固体沉淀垃圾排出口：设计应具备沉淀物质的排出口，可用于清理容器内的残渣。</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481"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22</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喷涂装置主要功能单元设计3</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喷涂单元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注入喷涂管道动力单元：便携式喷涂装置应该具备注入喷涂管道的动力提供能力，可使用例如水泵等驱动单元提供动力。</w:t>
            </w:r>
          </w:p>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481"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23</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喷涂装置主要功能单元设计3</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喷涂单元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喷涂动力单元（手控）：便携式喷涂装置应具备在野外没有电力的情况下，提供手动作业的辅助工作能力。</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481"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24</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喷涂装置主要功能单元设计3</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喷涂单元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喷涂过程保温单元：在低温工作的情况下容器及其管道喷头等组件应具备一定的保温能力或加温能力，用以确保低温情况下药液的使用状态。</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481"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25</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喷涂装置主要功能单元设计3</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喷涂单元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喷涂结束自净功能单元：药液使用完成后，便携式喷涂装置应具备容器内和管道的清洁功能，可以加注清水用于清理药液残留。</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481"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26</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喷涂装置主要功能单元设计3</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喷涂单元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除喷头外排液出口：药液清理后的残留液体，应再设置一个水出口可以排出残留的液体。</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27</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喷涂装置辅助功能单元设计1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供电单元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在输入电压AC220V±20%，50Hz±10%范围内可正常工作;具备防爆认证；</w:t>
            </w:r>
          </w:p>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iCs/>
                <w:color w:val="0000FF"/>
                <w:kern w:val="0"/>
                <w:sz w:val="21"/>
                <w:szCs w:val="21"/>
                <w:highlight w:val="none"/>
                <w:lang w:bidi="ar"/>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28</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喷涂装置辅助功能单元设计1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供电单元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电池完成一次完全充电，时间≦8小时;</w:t>
            </w:r>
          </w:p>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29</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喷涂装置辅助功能单元设计1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供电单元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一次满电量支持喷涂量不少于存储桶容积，连续工作时间≧2小时。</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30</w:t>
            </w:r>
          </w:p>
        </w:tc>
        <w:tc>
          <w:tcPr>
            <w:tcW w:w="95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喷涂装置辅助功能单元设计2</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电力转化动力单元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iCs/>
                <w:color w:val="0000FF"/>
                <w:kern w:val="0"/>
                <w:sz w:val="21"/>
                <w:szCs w:val="21"/>
                <w:highlight w:val="none"/>
                <w:lang w:val="en-US" w:bidi="ar"/>
              </w:rPr>
            </w:pPr>
            <w:r>
              <w:rPr>
                <w:rFonts w:hint="eastAsia" w:ascii="宋体" w:hAnsi="宋体" w:eastAsia="宋体" w:cs="宋体"/>
                <w:i w:val="0"/>
                <w:iCs w:val="0"/>
                <w:color w:val="000000"/>
                <w:kern w:val="0"/>
                <w:sz w:val="21"/>
                <w:szCs w:val="21"/>
                <w:highlight w:val="none"/>
                <w:lang w:val="en-US" w:eastAsia="zh-CN" w:bidi="ar-SA"/>
              </w:rPr>
              <w:t>配置电力一键开关实施喷涂操作。</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31</w:t>
            </w:r>
          </w:p>
        </w:tc>
        <w:tc>
          <w:tcPr>
            <w:tcW w:w="95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喷涂装置辅助功能单元设计3</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i w:val="0"/>
                <w:iCs w:val="0"/>
                <w:color w:val="000000"/>
                <w:kern w:val="0"/>
                <w:sz w:val="21"/>
                <w:szCs w:val="21"/>
                <w:highlight w:val="none"/>
                <w:lang w:val="en-US" w:eastAsia="zh-CN" w:bidi="ar-SA"/>
              </w:rPr>
              <w:t>机械力转化动力单元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手动工作方式提供足够的动力进行喷涂作业。</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32</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喷涂装置辅助功能单元设计4</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控制软件芯片单元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工作界面设计简洁清晰明了，软件设计工作方式可靠。</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33</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喷涂装置辅助功能单元设计5</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控制界面</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界面设计简单明了，应具备温度显示和电量显示功能，以及功能选项操作确认功能。</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34</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运输包装和储存装置结构材质选型设计1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箱组结构</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设备箱：用于喷涂装置及配件的保存和运输。</w:t>
            </w:r>
          </w:p>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35</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运输包装和储存装置结构材质选型设计1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箱组结构</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运输箱：用于涂层材料的运输保存。</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36</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运输包装和储存装置结构材质选型设计2</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外观设计</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采用制式标准包装箱：滚塑箱。</w:t>
            </w:r>
          </w:p>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37</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运输包装和储存装置结构材质选型设计2</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外观设计</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箱体顶部设计凹槽，与底部凸起嵌合，防止堆码时滑动。</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1152"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38</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运输包装和储存装置结构材质选型设计3</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内衬结构及材料设计</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箱体内表面敷贴EVA发泡材料。</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1152"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39</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运输包装和储存装置结构材质选型设计3</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内衬结构及材料设计</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内衬轮廓贴合产品的外形，应具备固定、减震、缓冲、减震防阻燃等功能，固定产品位置。</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1152"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40</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运输包装和储存装置结构材质选型设计3</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内衬结构及材料设计</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内衬完全包裹产品，减少暴露面。</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499"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41</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喷涂效果检验装置配置1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设计</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both"/>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外观：可考虑如手电筒形状的紫外线照射灯。</w:t>
            </w:r>
          </w:p>
          <w:p>
            <w:pPr>
              <w:keepNext w:val="0"/>
              <w:keepLines w:val="0"/>
              <w:pageBreakBefore w:val="0"/>
              <w:widowControl/>
              <w:kinsoku/>
              <w:wordWrap/>
              <w:overflowPunct/>
              <w:topLinePunct w:val="0"/>
              <w:bidi w:val="0"/>
              <w:snapToGrid/>
              <w:spacing w:line="320" w:lineRule="exact"/>
              <w:jc w:val="both"/>
              <w:textAlignment w:val="center"/>
              <w:rPr>
                <w:rFonts w:hint="eastAsia" w:ascii="宋体" w:hAnsi="宋体" w:eastAsia="宋体" w:cs="宋体"/>
                <w:i w:val="0"/>
                <w:iCs w:val="0"/>
                <w:color w:val="000000"/>
                <w:kern w:val="0"/>
                <w:sz w:val="21"/>
                <w:szCs w:val="21"/>
                <w:highlight w:val="none"/>
                <w:lang w:val="en-US" w:eastAsia="zh-CN" w:bidi="ar-SA"/>
              </w:rPr>
            </w:pP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499"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42</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喷涂效果检验装置配置1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设计</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both"/>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波长：按照长效抗菌抗病毒涂层荧光添加剂要求的波长选型。</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499"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43</w:t>
            </w:r>
          </w:p>
        </w:tc>
        <w:tc>
          <w:tcPr>
            <w:tcW w:w="95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喷涂效果检验装置配置2</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位置</w:t>
            </w:r>
          </w:p>
        </w:tc>
        <w:tc>
          <w:tcPr>
            <w:tcW w:w="35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both"/>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配置于装置箱内相应的固定位置。</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val="en-US" w:eastAsia="zh-CN" w:bidi="ar"/>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sz w:val="21"/>
                <w:szCs w:val="21"/>
                <w:highlight w:val="none"/>
                <w:lang w:val="en-US" w:eastAsia="zh-CN"/>
              </w:rPr>
            </w:pPr>
            <w:r>
              <w:rPr>
                <w:rFonts w:hint="eastAsia" w:ascii="宋体" w:hAnsi="宋体" w:eastAsia="宋体" w:cs="宋体"/>
                <w:sz w:val="21"/>
                <w:szCs w:val="21"/>
                <w:highlight w:val="none"/>
                <w:lang w:val="en-US" w:eastAsia="zh-CN"/>
              </w:rPr>
              <w:t>44</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kern w:val="0"/>
                <w:sz w:val="21"/>
                <w:szCs w:val="21"/>
                <w:highlight w:val="none"/>
                <w:lang w:val="en-US" w:bidi="ar"/>
              </w:rPr>
            </w:pPr>
            <w:r>
              <w:rPr>
                <w:rFonts w:hint="eastAsia" w:ascii="宋体" w:hAnsi="宋体" w:eastAsia="宋体" w:cs="宋体"/>
                <w:kern w:val="0"/>
                <w:sz w:val="21"/>
                <w:szCs w:val="21"/>
                <w:highlight w:val="none"/>
                <w:lang w:val="en-US" w:eastAsia="zh-CN" w:bidi="ar"/>
              </w:rPr>
              <w:t>自然环境适应性1</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rPr>
                <w:rFonts w:hint="eastAsia" w:ascii="宋体" w:hAnsi="宋体" w:eastAsia="宋体" w:cs="宋体"/>
                <w:color w:val="0000FF"/>
                <w:sz w:val="21"/>
                <w:szCs w:val="21"/>
                <w:highlight w:val="none"/>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i/>
                <w:iCs/>
                <w:color w:val="0000FF"/>
                <w:sz w:val="21"/>
                <w:szCs w:val="21"/>
                <w:highlight w:val="none"/>
              </w:rPr>
            </w:pPr>
            <w:r>
              <w:rPr>
                <w:rFonts w:hint="eastAsia" w:ascii="宋体" w:hAnsi="宋体" w:eastAsia="宋体" w:cs="宋体"/>
                <w:sz w:val="21"/>
                <w:szCs w:val="21"/>
              </w:rPr>
              <w:t>工作环境温度：-10℃～46℃；</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iCs/>
                <w:color w:val="0000FF"/>
                <w:sz w:val="21"/>
                <w:szCs w:val="21"/>
                <w:highlight w:val="none"/>
                <w:lang w:val="en-US"/>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45</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自然环境适应性2</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相对湿度：≤95%(40℃)；</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iCs/>
                <w:color w:val="0000FF"/>
                <w:kern w:val="2"/>
                <w:sz w:val="21"/>
                <w:szCs w:val="21"/>
                <w:highlight w:val="none"/>
                <w:lang w:val="en-US" w:eastAsia="zh-CN" w:bidi="ar-SA"/>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46</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自然环境适应性3</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太阳辐射耐受能力：在太阳辐射强度1120w/m</w:t>
            </w:r>
            <w:r>
              <w:rPr>
                <w:rFonts w:hint="eastAsia" w:ascii="宋体" w:hAnsi="宋体" w:eastAsia="宋体" w:cs="宋体"/>
                <w:sz w:val="21"/>
                <w:szCs w:val="21"/>
                <w:vertAlign w:val="superscript"/>
              </w:rPr>
              <w:t>2</w:t>
            </w:r>
            <w:r>
              <w:rPr>
                <w:rFonts w:hint="eastAsia" w:ascii="宋体" w:hAnsi="宋体" w:eastAsia="宋体" w:cs="宋体"/>
                <w:sz w:val="21"/>
                <w:szCs w:val="21"/>
              </w:rPr>
              <w:t>条件下，装置不发生变形以及发粘、龟裂、损坏等；</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iCs/>
                <w:color w:val="0000FF"/>
                <w:kern w:val="2"/>
                <w:sz w:val="21"/>
                <w:szCs w:val="21"/>
                <w:highlight w:val="none"/>
                <w:lang w:val="en-US" w:eastAsia="zh-CN" w:bidi="ar-SA"/>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47</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自然环境适应性4</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抗淋雨能力：收拢状态下，箱组能耐降雨强度2mm/min、持续时间1h的淋雨。</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iCs/>
                <w:color w:val="0000FF"/>
                <w:kern w:val="2"/>
                <w:sz w:val="21"/>
                <w:szCs w:val="21"/>
                <w:highlight w:val="none"/>
                <w:lang w:val="en-US" w:eastAsia="zh-CN" w:bidi="ar-SA"/>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sz w:val="21"/>
                <w:szCs w:val="21"/>
                <w:highlight w:val="none"/>
                <w:lang w:val="en-US" w:eastAsia="zh-CN"/>
              </w:rPr>
            </w:pPr>
            <w:r>
              <w:rPr>
                <w:rFonts w:hint="eastAsia" w:ascii="宋体" w:hAnsi="宋体" w:eastAsia="宋体" w:cs="宋体"/>
                <w:sz w:val="21"/>
                <w:szCs w:val="21"/>
                <w:highlight w:val="none"/>
                <w:lang w:val="en-US" w:eastAsia="zh-CN"/>
              </w:rPr>
              <w:t>48</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kern w:val="0"/>
                <w:sz w:val="21"/>
                <w:szCs w:val="21"/>
                <w:highlight w:val="none"/>
                <w:lang w:val="en-US" w:bidi="ar"/>
              </w:rPr>
            </w:pPr>
            <w:r>
              <w:rPr>
                <w:rFonts w:hint="eastAsia" w:ascii="宋体" w:hAnsi="宋体" w:eastAsia="宋体" w:cs="宋体"/>
                <w:kern w:val="0"/>
                <w:sz w:val="21"/>
                <w:szCs w:val="21"/>
                <w:highlight w:val="none"/>
                <w:lang w:val="en-US" w:eastAsia="zh-CN" w:bidi="ar"/>
              </w:rPr>
              <w:t>场景及任务适应性1</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rPr>
                <w:rFonts w:hint="eastAsia" w:ascii="宋体" w:hAnsi="宋体" w:eastAsia="宋体" w:cs="宋体"/>
                <w:color w:val="0000FF"/>
                <w:sz w:val="21"/>
                <w:szCs w:val="21"/>
                <w:highlight w:val="none"/>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pStyle w:val="6"/>
              <w:keepNext w:val="0"/>
              <w:keepLines w:val="0"/>
              <w:pageBreakBefore w:val="0"/>
              <w:numPr>
                <w:ilvl w:val="0"/>
                <w:numId w:val="0"/>
              </w:numPr>
              <w:kinsoku/>
              <w:wordWrap/>
              <w:overflowPunct/>
              <w:topLinePunct w:val="0"/>
              <w:bidi w:val="0"/>
              <w:snapToGrid/>
              <w:spacing w:line="320" w:lineRule="exact"/>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lang w:val="en-US" w:eastAsia="zh-CN"/>
              </w:rPr>
              <w:t>装卸搬运适应性：符合GJB1181《军用装备包装、装卸、贮存和运输通用大纲》要求，各箱体设计时设有叉装结构并适合搬运。须人力搬运的加装器材应符合GB/T 12330《体力搬运重量限值》有关规定；</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iCs/>
                <w:color w:val="0000FF"/>
                <w:sz w:val="21"/>
                <w:szCs w:val="21"/>
                <w:highlight w:val="none"/>
                <w:lang w:val="en-US"/>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49</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场景及任务适应性2</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pStyle w:val="6"/>
              <w:keepNext w:val="0"/>
              <w:keepLines w:val="0"/>
              <w:pageBreakBefore w:val="0"/>
              <w:numPr>
                <w:ilvl w:val="0"/>
                <w:numId w:val="0"/>
              </w:numPr>
              <w:kinsoku/>
              <w:wordWrap/>
              <w:overflowPunct/>
              <w:topLinePunct w:val="0"/>
              <w:bidi w:val="0"/>
              <w:snapToGrid/>
              <w:spacing w:line="320" w:lineRule="exact"/>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隐蔽能力：</w:t>
            </w:r>
            <w:r>
              <w:rPr>
                <w:rFonts w:hint="eastAsia" w:ascii="宋体" w:hAnsi="宋体" w:eastAsia="宋体" w:cs="宋体"/>
                <w:sz w:val="21"/>
                <w:szCs w:val="21"/>
              </w:rPr>
              <w:t>外部颜色与标记进行无反光处理，符合安全隐蔽</w:t>
            </w:r>
            <w:r>
              <w:rPr>
                <w:rFonts w:hint="eastAsia" w:ascii="宋体" w:hAnsi="宋体" w:eastAsia="宋体" w:cs="宋体"/>
                <w:sz w:val="21"/>
                <w:szCs w:val="21"/>
                <w:lang w:val="en-US" w:eastAsia="zh-CN"/>
              </w:rPr>
              <w:t>要求</w:t>
            </w:r>
            <w:r>
              <w:rPr>
                <w:rFonts w:hint="eastAsia" w:ascii="宋体" w:hAnsi="宋体" w:eastAsia="宋体" w:cs="宋体"/>
                <w:sz w:val="21"/>
                <w:szCs w:val="21"/>
              </w:rPr>
              <w:t>，箱体外部颜色采用哑光军绿色，箱体内部设置缓冲材料</w:t>
            </w:r>
            <w:r>
              <w:rPr>
                <w:rFonts w:hint="eastAsia" w:ascii="宋体" w:hAnsi="宋体" w:eastAsia="宋体" w:cs="宋体"/>
                <w:sz w:val="21"/>
                <w:szCs w:val="21"/>
                <w:lang w:eastAsia="zh-CN"/>
              </w:rPr>
              <w:t>。</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iCs/>
                <w:color w:val="0000FF"/>
                <w:kern w:val="2"/>
                <w:sz w:val="21"/>
                <w:szCs w:val="21"/>
                <w:highlight w:val="none"/>
                <w:lang w:val="en-US" w:eastAsia="zh-CN" w:bidi="ar-SA"/>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50</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安全性、人机工程设计1</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pStyle w:val="6"/>
              <w:keepNext w:val="0"/>
              <w:keepLines w:val="0"/>
              <w:pageBreakBefore w:val="0"/>
              <w:numPr>
                <w:ilvl w:val="0"/>
                <w:numId w:val="0"/>
              </w:numPr>
              <w:kinsoku/>
              <w:wordWrap/>
              <w:overflowPunct/>
              <w:topLinePunct w:val="0"/>
              <w:bidi w:val="0"/>
              <w:snapToGrid/>
              <w:spacing w:line="320" w:lineRule="exact"/>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安全性：应遵循《装备安全性工作通用要求》GJB900A-2012和《系统安全工程手册》GJB/Z99 1997有关规定；</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sz w:val="21"/>
                <w:szCs w:val="21"/>
                <w:highlight w:val="none"/>
                <w:lang w:val="en-US" w:eastAsia="zh-CN"/>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51</w:t>
            </w:r>
          </w:p>
        </w:tc>
        <w:tc>
          <w:tcPr>
            <w:tcW w:w="956"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安全性、人机工程设计2</w:t>
            </w:r>
          </w:p>
        </w:tc>
        <w:tc>
          <w:tcPr>
            <w:tcW w:w="35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pStyle w:val="6"/>
              <w:keepNext w:val="0"/>
              <w:keepLines w:val="0"/>
              <w:pageBreakBefore w:val="0"/>
              <w:numPr>
                <w:ilvl w:val="0"/>
                <w:numId w:val="0"/>
              </w:numPr>
              <w:kinsoku/>
              <w:wordWrap/>
              <w:overflowPunct/>
              <w:topLinePunct w:val="0"/>
              <w:bidi w:val="0"/>
              <w:snapToGrid/>
              <w:spacing w:line="320" w:lineRule="exact"/>
              <w:ind w:left="0" w:leftChars="0"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人机工程设计：应遵循《军事装备和设施的人机工程设计手册》GJB/Z 131-2002、《产品标识和追溯要求》GJB 716A-2004有关规定。</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2"/>
                <w:sz w:val="21"/>
                <w:szCs w:val="21"/>
                <w:highlight w:val="none"/>
                <w:lang w:val="en-US" w:eastAsia="zh-CN" w:bidi="ar-SA"/>
              </w:rPr>
            </w:pPr>
            <w:r>
              <w:rPr>
                <w:rFonts w:hint="eastAsia" w:ascii="宋体" w:hAnsi="宋体" w:eastAsia="宋体" w:cs="宋体"/>
                <w:i w:val="0"/>
                <w:iCs w:val="0"/>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sz w:val="21"/>
                <w:szCs w:val="21"/>
                <w:highlight w:val="none"/>
                <w:lang w:val="en-US"/>
              </w:rPr>
            </w:pPr>
            <w:r>
              <w:rPr>
                <w:rFonts w:hint="eastAsia" w:ascii="宋体" w:hAnsi="宋体" w:eastAsia="宋体" w:cs="宋体"/>
                <w:kern w:val="0"/>
                <w:sz w:val="21"/>
                <w:szCs w:val="21"/>
                <w:highlight w:val="none"/>
                <w:lang w:val="en-US" w:eastAsia="zh-CN" w:bidi="ar"/>
              </w:rPr>
              <w:t>52</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kern w:val="0"/>
                <w:sz w:val="21"/>
                <w:szCs w:val="21"/>
                <w:highlight w:val="none"/>
                <w:lang w:bidi="ar"/>
              </w:rPr>
            </w:pPr>
            <w:r>
              <w:rPr>
                <w:rFonts w:hint="eastAsia" w:ascii="宋体" w:hAnsi="宋体" w:eastAsia="宋体" w:cs="宋体"/>
                <w:kern w:val="0"/>
                <w:sz w:val="21"/>
                <w:szCs w:val="21"/>
                <w:highlight w:val="none"/>
                <w:lang w:bidi="ar"/>
              </w:rPr>
              <w:t>配置名称</w:t>
            </w:r>
            <w:r>
              <w:rPr>
                <w:rFonts w:hint="eastAsia" w:ascii="宋体" w:hAnsi="宋体" w:eastAsia="宋体" w:cs="宋体"/>
                <w:kern w:val="0"/>
                <w:sz w:val="21"/>
                <w:szCs w:val="21"/>
                <w:highlight w:val="none"/>
                <w:lang w:eastAsia="zh-CN" w:bidi="ar"/>
              </w:rPr>
              <w:t>1</w:t>
            </w:r>
            <w:r>
              <w:rPr>
                <w:rFonts w:hint="eastAsia" w:ascii="宋体" w:hAnsi="宋体" w:eastAsia="宋体" w:cs="宋体"/>
                <w:kern w:val="0"/>
                <w:sz w:val="21"/>
                <w:szCs w:val="21"/>
                <w:highlight w:val="none"/>
                <w:lang w:val="en-US" w:eastAsia="zh-CN" w:bidi="ar"/>
              </w:rPr>
              <w:t xml:space="preserve">    </w:t>
            </w:r>
            <w:r>
              <w:rPr>
                <w:rFonts w:hint="eastAsia" w:ascii="宋体" w:hAnsi="宋体" w:eastAsia="宋体" w:cs="宋体"/>
                <w:kern w:val="0"/>
                <w:sz w:val="21"/>
                <w:szCs w:val="21"/>
                <w:highlight w:val="none"/>
                <w:lang w:bidi="ar"/>
              </w:rPr>
              <w:t>（服务人员）</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0000FF"/>
                <w:sz w:val="21"/>
                <w:szCs w:val="21"/>
                <w:highlight w:val="none"/>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iCs/>
                <w:color w:val="0000FF"/>
                <w:sz w:val="21"/>
                <w:szCs w:val="21"/>
                <w:highlight w:val="none"/>
              </w:rPr>
            </w:pPr>
            <w:r>
              <w:rPr>
                <w:rFonts w:hint="eastAsia" w:ascii="宋体" w:hAnsi="宋体" w:eastAsia="宋体" w:cs="宋体"/>
                <w:i w:val="0"/>
                <w:iCs w:val="0"/>
                <w:color w:val="000000"/>
                <w:kern w:val="0"/>
                <w:sz w:val="21"/>
                <w:szCs w:val="21"/>
                <w:highlight w:val="none"/>
                <w:lang w:val="en-US" w:eastAsia="zh-CN" w:bidi="ar-SA"/>
              </w:rPr>
              <w:t>专业构成：技术团队需覆盖研发、生产、质量等关键岗位，且人员结构合理（专业、年龄、知识层次），满足以下要求：组成核心技术团队的技术人员≥3人，军工项目经历均≥3年，高级职称人数≥1人；</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iCs/>
                <w:color w:val="0000FF"/>
                <w:sz w:val="21"/>
                <w:szCs w:val="21"/>
                <w:highlight w:val="none"/>
                <w:lang w:val="en-US" w:eastAsia="zh-CN"/>
              </w:rPr>
            </w:pPr>
            <w:r>
              <w:rPr>
                <w:rFonts w:hint="eastAsia" w:ascii="宋体" w:hAnsi="宋体" w:eastAsia="宋体" w:cs="宋体"/>
                <w:i w:val="0"/>
                <w:iCs w:val="0"/>
                <w:kern w:val="0"/>
                <w:sz w:val="21"/>
                <w:szCs w:val="21"/>
                <w:highlight w:val="none"/>
                <w:lang w:val="en-US" w:eastAsia="zh-CN" w:bidi="ar"/>
              </w:rPr>
              <w:t>企业承诺及</w:t>
            </w:r>
            <w:r>
              <w:rPr>
                <w:rFonts w:hint="eastAsia" w:ascii="宋体" w:hAnsi="宋体" w:eastAsia="宋体" w:cs="宋体"/>
                <w:i w:val="0"/>
                <w:iCs w:val="0"/>
                <w:kern w:val="0"/>
                <w:sz w:val="21"/>
                <w:szCs w:val="21"/>
                <w:highlight w:val="none"/>
                <w:lang w:bidi="ar"/>
              </w:rPr>
              <w:br w:type="textWrapping"/>
            </w:r>
            <w:r>
              <w:rPr>
                <w:rFonts w:hint="eastAsia" w:ascii="宋体" w:hAnsi="宋体" w:eastAsia="宋体" w:cs="宋体"/>
                <w:i w:val="0"/>
                <w:iCs w:val="0"/>
                <w:kern w:val="0"/>
                <w:sz w:val="21"/>
                <w:szCs w:val="21"/>
                <w:highlight w:val="none"/>
                <w:lang w:eastAsia="zh-CN" w:bidi="ar"/>
              </w:rPr>
              <w:t>技术团队花名册、</w:t>
            </w:r>
            <w:r>
              <w:rPr>
                <w:rFonts w:hint="eastAsia" w:ascii="宋体" w:hAnsi="宋体" w:eastAsia="宋体" w:cs="宋体"/>
                <w:i w:val="0"/>
                <w:iCs w:val="0"/>
                <w:kern w:val="0"/>
                <w:sz w:val="21"/>
                <w:szCs w:val="21"/>
                <w:highlight w:val="none"/>
                <w:lang w:val="en-US" w:eastAsia="zh-CN" w:bidi="ar"/>
              </w:rPr>
              <w:t>职称证明</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val="en-US" w:eastAsia="zh-CN" w:bidi="ar"/>
              </w:rPr>
            </w:pPr>
            <w:r>
              <w:rPr>
                <w:rFonts w:hint="eastAsia" w:ascii="宋体" w:hAnsi="宋体" w:eastAsia="宋体" w:cs="宋体"/>
                <w:kern w:val="0"/>
                <w:sz w:val="21"/>
                <w:szCs w:val="21"/>
                <w:highlight w:val="none"/>
                <w:lang w:val="en-US" w:eastAsia="zh-CN" w:bidi="ar"/>
              </w:rPr>
              <w:t>53</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配置名称</w:t>
            </w:r>
            <w:r>
              <w:rPr>
                <w:rFonts w:hint="eastAsia" w:ascii="宋体" w:hAnsi="宋体" w:eastAsia="宋体" w:cs="宋体"/>
                <w:kern w:val="0"/>
                <w:sz w:val="21"/>
                <w:szCs w:val="21"/>
                <w:highlight w:val="none"/>
                <w:lang w:val="en-US" w:eastAsia="zh-CN" w:bidi="ar"/>
              </w:rPr>
              <w:t>2</w:t>
            </w:r>
            <w:r>
              <w:rPr>
                <w:rFonts w:hint="eastAsia" w:ascii="宋体" w:hAnsi="宋体" w:eastAsia="宋体" w:cs="宋体"/>
                <w:kern w:val="0"/>
                <w:sz w:val="21"/>
                <w:szCs w:val="21"/>
                <w:highlight w:val="none"/>
                <w:lang w:bidi="ar"/>
              </w:rPr>
              <w:br w:type="textWrapping"/>
            </w:r>
            <w:r>
              <w:rPr>
                <w:rFonts w:hint="eastAsia" w:ascii="宋体" w:hAnsi="宋体" w:eastAsia="宋体" w:cs="宋体"/>
                <w:kern w:val="0"/>
                <w:sz w:val="21"/>
                <w:szCs w:val="21"/>
                <w:highlight w:val="none"/>
                <w:lang w:bidi="ar"/>
              </w:rPr>
              <w:t>（服务人员）</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kern w:val="0"/>
                <w:sz w:val="21"/>
                <w:szCs w:val="21"/>
                <w:highlight w:val="none"/>
                <w:lang w:bidi="ar"/>
              </w:rPr>
            </w:pPr>
            <w:r>
              <w:rPr>
                <w:rFonts w:hint="eastAsia" w:ascii="宋体" w:hAnsi="宋体" w:eastAsia="宋体" w:cs="宋体"/>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000000"/>
                <w:kern w:val="0"/>
                <w:sz w:val="21"/>
                <w:szCs w:val="21"/>
                <w:highlight w:val="none"/>
                <w:lang w:val="en-US" w:eastAsia="zh-CN" w:bidi="ar-SA"/>
              </w:rPr>
            </w:pPr>
            <w:r>
              <w:rPr>
                <w:rFonts w:hint="eastAsia" w:ascii="宋体" w:hAnsi="宋体" w:eastAsia="宋体" w:cs="宋体"/>
                <w:i w:val="0"/>
                <w:iCs w:val="0"/>
                <w:color w:val="000000"/>
                <w:kern w:val="0"/>
                <w:sz w:val="21"/>
                <w:szCs w:val="21"/>
                <w:highlight w:val="none"/>
                <w:lang w:val="en-US" w:eastAsia="zh-CN" w:bidi="ar-SA"/>
              </w:rPr>
              <w:t>涉密岗位人员保密培训合格率100%。</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val="en-US" w:eastAsia="zh-CN" w:bidi="ar"/>
              </w:rPr>
              <w:t>企业</w:t>
            </w:r>
            <w:r>
              <w:rPr>
                <w:rFonts w:hint="eastAsia" w:ascii="宋体" w:hAnsi="宋体" w:eastAsia="宋体" w:cs="宋体"/>
                <w:i w:val="0"/>
                <w:iCs w:val="0"/>
                <w:kern w:val="0"/>
                <w:sz w:val="21"/>
                <w:szCs w:val="21"/>
                <w:highlight w:val="none"/>
                <w:lang w:bidi="ar"/>
              </w:rPr>
              <w:t>承诺</w:t>
            </w:r>
          </w:p>
        </w:tc>
      </w:tr>
      <w:tr>
        <w:tblPrEx>
          <w:tblCellMar>
            <w:top w:w="0" w:type="dxa"/>
            <w:left w:w="108" w:type="dxa"/>
            <w:bottom w:w="0" w:type="dxa"/>
            <w:right w:w="108" w:type="dxa"/>
          </w:tblCellMar>
        </w:tblPrEx>
        <w:trPr>
          <w:trHeight w:val="500" w:hRule="atLeast"/>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b/>
                <w:bCs/>
                <w:kern w:val="0"/>
                <w:sz w:val="21"/>
                <w:szCs w:val="21"/>
                <w:highlight w:val="none"/>
                <w:lang w:bidi="ar"/>
              </w:rPr>
            </w:pPr>
            <w:r>
              <w:rPr>
                <w:rFonts w:hint="eastAsia" w:ascii="宋体" w:hAnsi="宋体" w:eastAsia="宋体" w:cs="宋体"/>
                <w:b/>
                <w:bCs/>
                <w:kern w:val="0"/>
                <w:sz w:val="21"/>
                <w:szCs w:val="21"/>
                <w:highlight w:val="none"/>
                <w:lang w:eastAsia="zh-CN" w:bidi="ar"/>
              </w:rPr>
              <w:t>商务</w:t>
            </w:r>
            <w:r>
              <w:rPr>
                <w:rFonts w:hint="eastAsia" w:ascii="宋体" w:hAnsi="宋体" w:eastAsia="宋体" w:cs="宋体"/>
                <w:b/>
                <w:bCs/>
                <w:kern w:val="0"/>
                <w:sz w:val="21"/>
                <w:szCs w:val="21"/>
                <w:highlight w:val="none"/>
                <w:lang w:bidi="ar"/>
              </w:rPr>
              <w:t>要求</w:t>
            </w:r>
          </w:p>
        </w:tc>
      </w:tr>
      <w:tr>
        <w:tblPrEx>
          <w:tblCellMar>
            <w:top w:w="0" w:type="dxa"/>
            <w:left w:w="108" w:type="dxa"/>
            <w:bottom w:w="0" w:type="dxa"/>
            <w:right w:w="108" w:type="dxa"/>
          </w:tblCellMar>
        </w:tblPrEx>
        <w:trPr>
          <w:trHeight w:val="465"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bidi="ar"/>
              </w:rPr>
              <w:t>1</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bidi="ar"/>
              </w:rPr>
              <w:t>交货时间、交货地点</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bidi="ar"/>
              </w:rPr>
              <w:t>合同签订后</w:t>
            </w:r>
            <w:r>
              <w:rPr>
                <w:rFonts w:hint="eastAsia" w:ascii="宋体" w:hAnsi="宋体" w:eastAsia="宋体" w:cs="宋体"/>
                <w:i w:val="0"/>
                <w:iCs w:val="0"/>
                <w:kern w:val="0"/>
                <w:sz w:val="21"/>
                <w:szCs w:val="21"/>
                <w:highlight w:val="none"/>
                <w:lang w:val="en-US" w:eastAsia="zh-CN" w:bidi="ar"/>
              </w:rPr>
              <w:t>5</w:t>
            </w:r>
            <w:r>
              <w:rPr>
                <w:rFonts w:hint="eastAsia" w:ascii="宋体" w:hAnsi="宋体" w:eastAsia="宋体" w:cs="宋体"/>
                <w:i w:val="0"/>
                <w:iCs w:val="0"/>
                <w:kern w:val="0"/>
                <w:sz w:val="21"/>
                <w:szCs w:val="21"/>
                <w:highlight w:val="none"/>
                <w:lang w:bidi="ar"/>
              </w:rPr>
              <w:t>个月内交付</w:t>
            </w:r>
            <w:r>
              <w:rPr>
                <w:rFonts w:hint="eastAsia" w:ascii="宋体" w:hAnsi="宋体" w:eastAsia="宋体" w:cs="宋体"/>
                <w:i w:val="0"/>
                <w:iCs w:val="0"/>
                <w:kern w:val="0"/>
                <w:sz w:val="21"/>
                <w:szCs w:val="21"/>
                <w:highlight w:val="none"/>
                <w:lang w:eastAsia="zh-CN" w:bidi="ar"/>
              </w:rPr>
              <w:t>样机</w:t>
            </w:r>
            <w:r>
              <w:rPr>
                <w:rFonts w:hint="eastAsia" w:ascii="宋体" w:hAnsi="宋体" w:eastAsia="宋体" w:cs="宋体"/>
                <w:i w:val="0"/>
                <w:iCs w:val="0"/>
                <w:kern w:val="0"/>
                <w:sz w:val="21"/>
                <w:szCs w:val="21"/>
                <w:highlight w:val="none"/>
                <w:lang w:bidi="ar"/>
              </w:rPr>
              <w:t>，交付地点</w:t>
            </w:r>
            <w:r>
              <w:rPr>
                <w:rFonts w:hint="eastAsia" w:ascii="宋体" w:hAnsi="宋体" w:eastAsia="宋体" w:cs="宋体"/>
                <w:i w:val="0"/>
                <w:iCs w:val="0"/>
                <w:kern w:val="0"/>
                <w:sz w:val="21"/>
                <w:szCs w:val="21"/>
                <w:highlight w:val="none"/>
                <w:lang w:eastAsia="zh-CN" w:bidi="ar"/>
              </w:rPr>
              <w:t>北京</w:t>
            </w:r>
            <w:r>
              <w:rPr>
                <w:rFonts w:hint="eastAsia" w:ascii="宋体" w:hAnsi="宋体" w:eastAsia="宋体" w:cs="宋体"/>
                <w:i w:val="0"/>
                <w:iCs w:val="0"/>
                <w:kern w:val="0"/>
                <w:sz w:val="21"/>
                <w:szCs w:val="21"/>
                <w:highlight w:val="none"/>
                <w:lang w:bidi="ar"/>
              </w:rPr>
              <w:t>。</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bidi="ar"/>
              </w:rPr>
              <w:t>企业承诺</w:t>
            </w:r>
          </w:p>
        </w:tc>
      </w:tr>
      <w:tr>
        <w:tblPrEx>
          <w:tblCellMar>
            <w:top w:w="0" w:type="dxa"/>
            <w:left w:w="108" w:type="dxa"/>
            <w:bottom w:w="0" w:type="dxa"/>
            <w:right w:w="108" w:type="dxa"/>
          </w:tblCellMar>
        </w:tblPrEx>
        <w:trPr>
          <w:trHeight w:val="499"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bidi="ar"/>
              </w:rPr>
              <w:t>2</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bidi="ar"/>
              </w:rPr>
              <w:t>付款及结算方式</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eastAsia="zh-CN" w:bidi="ar"/>
              </w:rPr>
              <w:t>原理样机设计方案</w:t>
            </w:r>
            <w:r>
              <w:rPr>
                <w:rFonts w:hint="eastAsia" w:ascii="宋体" w:hAnsi="宋体" w:eastAsia="宋体" w:cs="宋体"/>
                <w:i w:val="0"/>
                <w:iCs w:val="0"/>
                <w:kern w:val="0"/>
                <w:sz w:val="21"/>
                <w:szCs w:val="21"/>
                <w:highlight w:val="none"/>
                <w:lang w:val="en-US" w:eastAsia="zh-CN" w:bidi="ar"/>
              </w:rPr>
              <w:t>通过评审</w:t>
            </w:r>
            <w:r>
              <w:rPr>
                <w:rFonts w:hint="eastAsia" w:ascii="宋体" w:hAnsi="宋体" w:eastAsia="宋体" w:cs="宋体"/>
                <w:i w:val="0"/>
                <w:iCs w:val="0"/>
                <w:kern w:val="0"/>
                <w:sz w:val="21"/>
                <w:szCs w:val="21"/>
                <w:highlight w:val="none"/>
                <w:lang w:eastAsia="zh-CN" w:bidi="ar"/>
              </w:rPr>
              <w:t>后付</w:t>
            </w:r>
            <w:r>
              <w:rPr>
                <w:rFonts w:hint="eastAsia" w:ascii="宋体" w:hAnsi="宋体" w:eastAsia="宋体" w:cs="宋体"/>
                <w:i w:val="0"/>
                <w:iCs w:val="0"/>
                <w:kern w:val="0"/>
                <w:sz w:val="21"/>
                <w:szCs w:val="21"/>
                <w:highlight w:val="none"/>
                <w:lang w:val="en-US" w:eastAsia="zh-CN" w:bidi="ar"/>
              </w:rPr>
              <w:t>30%，</w:t>
            </w:r>
            <w:r>
              <w:rPr>
                <w:rFonts w:hint="eastAsia" w:ascii="宋体" w:hAnsi="宋体" w:eastAsia="宋体" w:cs="宋体"/>
                <w:i w:val="0"/>
                <w:iCs w:val="0"/>
                <w:kern w:val="0"/>
                <w:sz w:val="21"/>
                <w:szCs w:val="21"/>
                <w:highlight w:val="none"/>
                <w:lang w:eastAsia="zh-CN" w:bidi="ar"/>
              </w:rPr>
              <w:t>原理样机</w:t>
            </w:r>
            <w:r>
              <w:rPr>
                <w:rFonts w:hint="eastAsia" w:ascii="宋体" w:hAnsi="宋体" w:eastAsia="宋体" w:cs="宋体"/>
                <w:i w:val="0"/>
                <w:iCs w:val="0"/>
                <w:kern w:val="0"/>
                <w:sz w:val="21"/>
                <w:szCs w:val="21"/>
                <w:highlight w:val="none"/>
                <w:lang w:bidi="ar"/>
              </w:rPr>
              <w:t>完成验收后付</w:t>
            </w:r>
            <w:r>
              <w:rPr>
                <w:rFonts w:hint="eastAsia" w:ascii="宋体" w:hAnsi="宋体" w:eastAsia="宋体" w:cs="宋体"/>
                <w:i w:val="0"/>
                <w:iCs w:val="0"/>
                <w:kern w:val="0"/>
                <w:sz w:val="21"/>
                <w:szCs w:val="21"/>
                <w:highlight w:val="none"/>
                <w:lang w:val="en-US" w:eastAsia="zh-CN" w:bidi="ar"/>
              </w:rPr>
              <w:t>65</w:t>
            </w:r>
            <w:r>
              <w:rPr>
                <w:rFonts w:hint="eastAsia" w:ascii="宋体" w:hAnsi="宋体" w:eastAsia="宋体" w:cs="宋体"/>
                <w:i w:val="0"/>
                <w:iCs w:val="0"/>
                <w:kern w:val="0"/>
                <w:sz w:val="21"/>
                <w:szCs w:val="21"/>
                <w:highlight w:val="none"/>
                <w:lang w:bidi="ar"/>
              </w:rPr>
              <w:t>%</w:t>
            </w:r>
            <w:r>
              <w:rPr>
                <w:rFonts w:hint="eastAsia" w:ascii="宋体" w:hAnsi="宋体" w:eastAsia="宋体" w:cs="宋体"/>
                <w:i w:val="0"/>
                <w:iCs w:val="0"/>
                <w:kern w:val="0"/>
                <w:sz w:val="21"/>
                <w:szCs w:val="21"/>
                <w:highlight w:val="none"/>
                <w:lang w:eastAsia="zh-CN" w:bidi="ar"/>
              </w:rPr>
              <w:t>，</w:t>
            </w:r>
            <w:r>
              <w:rPr>
                <w:rFonts w:hint="eastAsia" w:ascii="宋体" w:hAnsi="宋体" w:eastAsia="宋体" w:cs="宋体"/>
                <w:i w:val="0"/>
                <w:iCs w:val="0"/>
                <w:kern w:val="0"/>
                <w:sz w:val="21"/>
                <w:szCs w:val="21"/>
                <w:highlight w:val="none"/>
                <w:lang w:val="en-US" w:eastAsia="zh-CN" w:bidi="ar"/>
              </w:rPr>
              <w:t>留5%作为质量保证金</w:t>
            </w:r>
            <w:r>
              <w:rPr>
                <w:rFonts w:hint="eastAsia" w:ascii="宋体" w:hAnsi="宋体" w:eastAsia="宋体" w:cs="宋体"/>
                <w:i w:val="0"/>
                <w:iCs w:val="0"/>
                <w:kern w:val="0"/>
                <w:sz w:val="21"/>
                <w:szCs w:val="21"/>
                <w:highlight w:val="none"/>
                <w:lang w:bidi="ar"/>
              </w:rPr>
              <w:t>。</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kern w:val="0"/>
                <w:sz w:val="21"/>
                <w:szCs w:val="21"/>
                <w:highlight w:val="none"/>
                <w:lang w:bidi="ar"/>
              </w:rPr>
            </w:pPr>
            <w:r>
              <w:rPr>
                <w:rFonts w:hint="eastAsia" w:ascii="宋体" w:hAnsi="宋体" w:eastAsia="宋体" w:cs="宋体"/>
                <w:i w:val="0"/>
                <w:iCs w:val="0"/>
                <w:kern w:val="0"/>
                <w:sz w:val="21"/>
                <w:szCs w:val="21"/>
                <w:highlight w:val="none"/>
                <w:lang w:bidi="ar"/>
              </w:rPr>
              <w:t>企业承诺</w:t>
            </w:r>
          </w:p>
        </w:tc>
      </w:tr>
      <w:tr>
        <w:tblPrEx>
          <w:tblCellMar>
            <w:top w:w="0" w:type="dxa"/>
            <w:left w:w="108" w:type="dxa"/>
            <w:bottom w:w="0" w:type="dxa"/>
            <w:right w:w="108" w:type="dxa"/>
          </w:tblCellMar>
        </w:tblPrEx>
        <w:trPr>
          <w:trHeight w:val="48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bidi="ar"/>
              </w:rPr>
            </w:pP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质量保证金</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i w:val="0"/>
                <w:iCs w:val="0"/>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val="en-US" w:eastAsia="zh-CN" w:bidi="ar"/>
              </w:rPr>
              <w:t>质保期</w:t>
            </w:r>
            <w:r>
              <w:rPr>
                <w:rFonts w:hint="eastAsia" w:ascii="宋体" w:hAnsi="宋体" w:eastAsia="宋体" w:cs="宋体"/>
                <w:i w:val="0"/>
                <w:iCs w:val="0"/>
                <w:color w:val="auto"/>
                <w:kern w:val="0"/>
                <w:sz w:val="21"/>
                <w:szCs w:val="21"/>
                <w:highlight w:val="none"/>
                <w:lang w:bidi="ar"/>
              </w:rPr>
              <w:t>满</w:t>
            </w:r>
            <w:r>
              <w:rPr>
                <w:rFonts w:hint="eastAsia" w:ascii="宋体" w:hAnsi="宋体" w:eastAsia="宋体" w:cs="宋体"/>
                <w:i w:val="0"/>
                <w:iCs w:val="0"/>
                <w:color w:val="auto"/>
                <w:kern w:val="0"/>
                <w:sz w:val="21"/>
                <w:szCs w:val="21"/>
                <w:highlight w:val="none"/>
                <w:lang w:val="en-US" w:eastAsia="zh-CN" w:bidi="ar"/>
              </w:rPr>
              <w:t>且无质量问题后</w:t>
            </w:r>
            <w:r>
              <w:rPr>
                <w:rFonts w:hint="eastAsia" w:ascii="宋体" w:hAnsi="宋体" w:eastAsia="宋体" w:cs="宋体"/>
                <w:i w:val="0"/>
                <w:iCs w:val="0"/>
                <w:color w:val="auto"/>
                <w:kern w:val="0"/>
                <w:sz w:val="21"/>
                <w:szCs w:val="21"/>
                <w:highlight w:val="none"/>
                <w:lang w:bidi="ar"/>
              </w:rPr>
              <w:t>支付剩余</w:t>
            </w:r>
            <w:r>
              <w:rPr>
                <w:rFonts w:hint="eastAsia" w:ascii="宋体" w:hAnsi="宋体" w:eastAsia="宋体" w:cs="宋体"/>
                <w:i w:val="0"/>
                <w:iCs w:val="0"/>
                <w:color w:val="auto"/>
                <w:kern w:val="0"/>
                <w:sz w:val="21"/>
                <w:szCs w:val="21"/>
                <w:highlight w:val="none"/>
                <w:lang w:val="en-US" w:eastAsia="zh-CN" w:bidi="ar"/>
              </w:rPr>
              <w:t>5</w:t>
            </w:r>
            <w:r>
              <w:rPr>
                <w:rFonts w:hint="eastAsia" w:ascii="宋体" w:hAnsi="宋体" w:eastAsia="宋体" w:cs="宋体"/>
                <w:i w:val="0"/>
                <w:iCs w:val="0"/>
                <w:color w:val="auto"/>
                <w:kern w:val="0"/>
                <w:sz w:val="21"/>
                <w:szCs w:val="21"/>
                <w:highlight w:val="none"/>
                <w:lang w:bidi="ar"/>
              </w:rPr>
              <w:t>%</w:t>
            </w:r>
            <w:r>
              <w:rPr>
                <w:rFonts w:hint="eastAsia" w:ascii="宋体" w:hAnsi="宋体" w:eastAsia="宋体" w:cs="宋体"/>
                <w:i w:val="0"/>
                <w:iCs w:val="0"/>
                <w:color w:val="auto"/>
                <w:kern w:val="0"/>
                <w:sz w:val="21"/>
                <w:szCs w:val="21"/>
                <w:highlight w:val="none"/>
                <w:lang w:eastAsia="zh-CN" w:bidi="ar"/>
              </w:rPr>
              <w:t>。</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bidi="ar"/>
              </w:rPr>
              <w:t>企业承诺</w:t>
            </w:r>
          </w:p>
        </w:tc>
      </w:tr>
      <w:tr>
        <w:tblPrEx>
          <w:tblCellMar>
            <w:top w:w="0" w:type="dxa"/>
            <w:left w:w="108" w:type="dxa"/>
            <w:bottom w:w="0" w:type="dxa"/>
            <w:right w:w="108" w:type="dxa"/>
          </w:tblCellMar>
        </w:tblPrEx>
        <w:trPr>
          <w:trHeight w:val="454"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4</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产品包装和运输要求</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i w:val="0"/>
                <w:iCs w:val="0"/>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bidi="ar"/>
              </w:rPr>
              <w:t>按照国家、行业相关标准规范，产品确保包装完好，运输确保不对产品造成损伤。</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bidi="ar"/>
              </w:rPr>
              <w:t>企业承诺</w:t>
            </w:r>
          </w:p>
        </w:tc>
      </w:tr>
      <w:tr>
        <w:tblPrEx>
          <w:tblCellMar>
            <w:top w:w="0" w:type="dxa"/>
            <w:left w:w="108" w:type="dxa"/>
            <w:bottom w:w="0" w:type="dxa"/>
            <w:right w:w="108" w:type="dxa"/>
          </w:tblCellMar>
        </w:tblPrEx>
        <w:trPr>
          <w:trHeight w:val="454"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bidi="ar"/>
              </w:rPr>
              <w:t>售后服务</w:t>
            </w:r>
            <w:r>
              <w:rPr>
                <w:rFonts w:hint="eastAsia" w:ascii="宋体" w:hAnsi="宋体" w:eastAsia="宋体" w:cs="宋体"/>
                <w:color w:val="auto"/>
                <w:kern w:val="0"/>
                <w:sz w:val="21"/>
                <w:szCs w:val="21"/>
                <w:highlight w:val="none"/>
                <w:lang w:val="en-US" w:eastAsia="zh-CN" w:bidi="ar"/>
              </w:rPr>
              <w:t>1</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（质保）</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i w:val="0"/>
                <w:iCs w:val="0"/>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kern w:val="0"/>
                <w:sz w:val="21"/>
                <w:szCs w:val="21"/>
                <w:highlight w:val="none"/>
                <w:lang w:val="en-US" w:eastAsia="zh-CN" w:bidi="ar"/>
              </w:rPr>
              <w:t>质保期</w:t>
            </w:r>
            <w:r>
              <w:rPr>
                <w:rFonts w:hint="eastAsia" w:ascii="宋体" w:hAnsi="宋体" w:eastAsia="宋体" w:cs="宋体"/>
                <w:i w:val="0"/>
                <w:iCs w:val="0"/>
                <w:color w:val="auto"/>
                <w:kern w:val="0"/>
                <w:sz w:val="21"/>
                <w:szCs w:val="21"/>
                <w:highlight w:val="none"/>
                <w:lang w:bidi="ar"/>
              </w:rPr>
              <w:t>不低于</w:t>
            </w:r>
            <w:r>
              <w:rPr>
                <w:rFonts w:hint="eastAsia" w:ascii="宋体" w:hAnsi="宋体" w:eastAsia="宋体" w:cs="宋体"/>
                <w:i w:val="0"/>
                <w:iCs w:val="0"/>
                <w:color w:val="auto"/>
                <w:kern w:val="0"/>
                <w:sz w:val="21"/>
                <w:szCs w:val="21"/>
                <w:highlight w:val="none"/>
                <w:lang w:val="en-US" w:eastAsia="zh-CN" w:bidi="ar"/>
              </w:rPr>
              <w:t>1</w:t>
            </w:r>
            <w:r>
              <w:rPr>
                <w:rFonts w:hint="eastAsia" w:ascii="宋体" w:hAnsi="宋体" w:eastAsia="宋体" w:cs="宋体"/>
                <w:i w:val="0"/>
                <w:iCs w:val="0"/>
                <w:color w:val="auto"/>
                <w:kern w:val="0"/>
                <w:sz w:val="21"/>
                <w:szCs w:val="21"/>
                <w:highlight w:val="none"/>
                <w:lang w:bidi="ar"/>
              </w:rPr>
              <w:t>年，全年故障停机时间不高于</w:t>
            </w:r>
            <w:r>
              <w:rPr>
                <w:rFonts w:hint="eastAsia" w:ascii="宋体" w:hAnsi="宋体" w:eastAsia="宋体" w:cs="宋体"/>
                <w:i w:val="0"/>
                <w:iCs w:val="0"/>
                <w:color w:val="auto"/>
                <w:kern w:val="0"/>
                <w:sz w:val="21"/>
                <w:szCs w:val="21"/>
                <w:highlight w:val="none"/>
                <w:lang w:val="en-US" w:eastAsia="zh-CN" w:bidi="ar"/>
              </w:rPr>
              <w:t>5</w:t>
            </w:r>
            <w:r>
              <w:rPr>
                <w:rFonts w:hint="eastAsia" w:ascii="宋体" w:hAnsi="宋体" w:eastAsia="宋体" w:cs="宋体"/>
                <w:i w:val="0"/>
                <w:iCs w:val="0"/>
                <w:color w:val="auto"/>
                <w:kern w:val="0"/>
                <w:sz w:val="21"/>
                <w:szCs w:val="21"/>
                <w:highlight w:val="none"/>
                <w:lang w:bidi="ar"/>
              </w:rPr>
              <w:t>%（按365日/年计算)。</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kern w:val="0"/>
                <w:sz w:val="21"/>
                <w:szCs w:val="21"/>
                <w:highlight w:val="none"/>
                <w:lang w:bidi="ar"/>
              </w:rPr>
              <w:t>企业承诺</w:t>
            </w:r>
          </w:p>
        </w:tc>
      </w:tr>
      <w:tr>
        <w:tblPrEx>
          <w:tblCellMar>
            <w:top w:w="0" w:type="dxa"/>
            <w:left w:w="108" w:type="dxa"/>
            <w:bottom w:w="0" w:type="dxa"/>
            <w:right w:w="108" w:type="dxa"/>
          </w:tblCellMar>
        </w:tblPrEx>
        <w:trPr>
          <w:trHeight w:val="499"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val="en-US" w:eastAsia="zh-CN" w:bidi="ar"/>
              </w:rPr>
              <w:t>6</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bidi="ar"/>
              </w:rPr>
              <w:t>售后服务</w:t>
            </w:r>
            <w:r>
              <w:rPr>
                <w:rFonts w:hint="eastAsia" w:ascii="宋体" w:hAnsi="宋体" w:eastAsia="宋体" w:cs="宋体"/>
                <w:color w:val="auto"/>
                <w:kern w:val="0"/>
                <w:sz w:val="21"/>
                <w:szCs w:val="21"/>
                <w:highlight w:val="none"/>
                <w:lang w:val="en-US" w:eastAsia="zh-CN" w:bidi="ar"/>
              </w:rPr>
              <w:t>2</w:t>
            </w:r>
          </w:p>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（质保）</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i w:val="0"/>
                <w:iCs w:val="0"/>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bidi="ar"/>
              </w:rPr>
              <w:t>提供</w:t>
            </w:r>
            <w:r>
              <w:rPr>
                <w:rFonts w:hint="eastAsia" w:ascii="宋体" w:hAnsi="宋体" w:eastAsia="宋体" w:cs="宋体"/>
                <w:i w:val="0"/>
                <w:iCs w:val="0"/>
                <w:color w:val="auto"/>
                <w:kern w:val="0"/>
                <w:sz w:val="21"/>
                <w:szCs w:val="21"/>
                <w:highlight w:val="none"/>
                <w:lang w:val="en-US" w:eastAsia="zh-CN" w:bidi="ar"/>
              </w:rPr>
              <w:t>3年，</w:t>
            </w:r>
            <w:r>
              <w:rPr>
                <w:rFonts w:hint="eastAsia" w:ascii="宋体" w:hAnsi="宋体" w:eastAsia="宋体" w:cs="宋体"/>
                <w:i w:val="0"/>
                <w:iCs w:val="0"/>
                <w:color w:val="auto"/>
                <w:kern w:val="0"/>
                <w:sz w:val="21"/>
                <w:szCs w:val="21"/>
                <w:highlight w:val="none"/>
                <w:lang w:bidi="ar"/>
              </w:rPr>
              <w:t>不少于</w:t>
            </w:r>
            <w:r>
              <w:rPr>
                <w:rFonts w:hint="eastAsia" w:ascii="宋体" w:hAnsi="宋体" w:eastAsia="宋体" w:cs="宋体"/>
                <w:i w:val="0"/>
                <w:iCs w:val="0"/>
                <w:color w:val="auto"/>
                <w:kern w:val="0"/>
                <w:sz w:val="21"/>
                <w:szCs w:val="21"/>
                <w:highlight w:val="none"/>
                <w:lang w:val="en-US" w:eastAsia="zh-CN" w:bidi="ar"/>
              </w:rPr>
              <w:t>1次/年</w:t>
            </w:r>
            <w:r>
              <w:rPr>
                <w:rFonts w:hint="eastAsia" w:ascii="宋体" w:hAnsi="宋体" w:eastAsia="宋体" w:cs="宋体"/>
                <w:i w:val="0"/>
                <w:iCs w:val="0"/>
                <w:color w:val="auto"/>
                <w:kern w:val="0"/>
                <w:sz w:val="21"/>
                <w:szCs w:val="21"/>
                <w:highlight w:val="none"/>
                <w:lang w:bidi="ar"/>
              </w:rPr>
              <w:t>的工程师维修培训。</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bidi="ar"/>
              </w:rPr>
              <w:t>企业承诺</w:t>
            </w:r>
          </w:p>
        </w:tc>
      </w:tr>
      <w:tr>
        <w:tblPrEx>
          <w:tblCellMar>
            <w:top w:w="0" w:type="dxa"/>
            <w:left w:w="108" w:type="dxa"/>
            <w:bottom w:w="0" w:type="dxa"/>
            <w:right w:w="108" w:type="dxa"/>
          </w:tblCellMar>
        </w:tblPrEx>
        <w:trPr>
          <w:trHeight w:val="499"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7</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售后服务</w:t>
            </w:r>
            <w:r>
              <w:rPr>
                <w:rFonts w:hint="eastAsia" w:ascii="宋体" w:hAnsi="宋体" w:eastAsia="宋体"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bidi="ar"/>
              </w:rPr>
              <w:br w:type="textWrapping"/>
            </w:r>
            <w:r>
              <w:rPr>
                <w:rFonts w:hint="eastAsia" w:ascii="宋体" w:hAnsi="宋体" w:eastAsia="宋体" w:cs="宋体"/>
                <w:color w:val="auto"/>
                <w:kern w:val="0"/>
                <w:sz w:val="21"/>
                <w:szCs w:val="21"/>
                <w:highlight w:val="none"/>
                <w:lang w:bidi="ar"/>
              </w:rPr>
              <w:t>（响应时间）</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i w:val="0"/>
                <w:iCs w:val="0"/>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kern w:val="0"/>
                <w:sz w:val="21"/>
                <w:szCs w:val="21"/>
                <w:highlight w:val="none"/>
                <w:lang w:bidi="ar"/>
              </w:rPr>
              <w:t>维修响应时间≤</w:t>
            </w:r>
            <w:r>
              <w:rPr>
                <w:rFonts w:hint="eastAsia" w:ascii="宋体" w:hAnsi="宋体" w:eastAsia="宋体" w:cs="宋体"/>
                <w:i w:val="0"/>
                <w:iCs w:val="0"/>
                <w:color w:val="auto"/>
                <w:kern w:val="0"/>
                <w:sz w:val="21"/>
                <w:szCs w:val="21"/>
                <w:highlight w:val="none"/>
                <w:lang w:val="en-US" w:eastAsia="zh-CN" w:bidi="ar"/>
              </w:rPr>
              <w:t>4</w:t>
            </w:r>
            <w:r>
              <w:rPr>
                <w:rFonts w:hint="eastAsia" w:ascii="宋体" w:hAnsi="宋体" w:eastAsia="宋体" w:cs="宋体"/>
                <w:i w:val="0"/>
                <w:iCs w:val="0"/>
                <w:color w:val="auto"/>
                <w:kern w:val="0"/>
                <w:sz w:val="21"/>
                <w:szCs w:val="21"/>
                <w:highlight w:val="none"/>
                <w:lang w:bidi="ar"/>
              </w:rPr>
              <w:t>小时，维修到达现场时间≤</w:t>
            </w:r>
            <w:r>
              <w:rPr>
                <w:rFonts w:hint="eastAsia" w:ascii="宋体" w:hAnsi="宋体" w:eastAsia="宋体" w:cs="宋体"/>
                <w:i w:val="0"/>
                <w:iCs w:val="0"/>
                <w:color w:val="auto"/>
                <w:kern w:val="0"/>
                <w:sz w:val="21"/>
                <w:szCs w:val="21"/>
                <w:highlight w:val="none"/>
                <w:lang w:val="en-US" w:eastAsia="zh-CN" w:bidi="ar"/>
              </w:rPr>
              <w:t>24</w:t>
            </w:r>
            <w:r>
              <w:rPr>
                <w:rFonts w:hint="eastAsia" w:ascii="宋体" w:hAnsi="宋体" w:eastAsia="宋体" w:cs="宋体"/>
                <w:i w:val="0"/>
                <w:iCs w:val="0"/>
                <w:color w:val="auto"/>
                <w:kern w:val="0"/>
                <w:sz w:val="21"/>
                <w:szCs w:val="21"/>
                <w:highlight w:val="none"/>
                <w:lang w:bidi="ar"/>
              </w:rPr>
              <w:t>小时。</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kern w:val="0"/>
                <w:sz w:val="21"/>
                <w:szCs w:val="21"/>
                <w:highlight w:val="none"/>
                <w:lang w:bidi="ar"/>
              </w:rPr>
              <w:t>企业承诺</w:t>
            </w:r>
          </w:p>
        </w:tc>
      </w:tr>
      <w:tr>
        <w:tblPrEx>
          <w:tblCellMar>
            <w:top w:w="0" w:type="dxa"/>
            <w:left w:w="108" w:type="dxa"/>
            <w:bottom w:w="0" w:type="dxa"/>
            <w:right w:w="108" w:type="dxa"/>
          </w:tblCellMar>
        </w:tblPrEx>
        <w:trPr>
          <w:trHeight w:val="499"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val="en-US" w:eastAsia="zh-CN" w:bidi="ar"/>
              </w:rPr>
              <w:t>8</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专用工具</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i w:val="0"/>
                <w:iCs w:val="0"/>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bidi="ar"/>
              </w:rPr>
              <w:t>应提供配套专修工具和使用工具。</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bidi="ar"/>
              </w:rPr>
              <w:t>企业承诺</w:t>
            </w:r>
          </w:p>
        </w:tc>
      </w:tr>
      <w:tr>
        <w:tblPrEx>
          <w:tblCellMar>
            <w:top w:w="0" w:type="dxa"/>
            <w:left w:w="108" w:type="dxa"/>
            <w:bottom w:w="0" w:type="dxa"/>
            <w:right w:w="108" w:type="dxa"/>
          </w:tblCellMar>
        </w:tblPrEx>
        <w:trPr>
          <w:trHeight w:val="72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9</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bidi="ar"/>
              </w:rPr>
              <w:t>保密要求</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eastAsia="zh-CN" w:bidi="ar"/>
              </w:rPr>
              <w:t>本项目</w:t>
            </w:r>
            <w:r>
              <w:rPr>
                <w:rFonts w:hint="eastAsia" w:ascii="宋体" w:hAnsi="宋体" w:eastAsia="宋体" w:cs="宋体"/>
                <w:i w:val="0"/>
                <w:iCs w:val="0"/>
                <w:color w:val="auto"/>
                <w:kern w:val="0"/>
                <w:sz w:val="21"/>
                <w:szCs w:val="21"/>
                <w:highlight w:val="none"/>
                <w:lang w:bidi="ar"/>
              </w:rPr>
              <w:t>为涉密项目，要求投标方遵守国家和军队保密法规制度。</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auto"/>
                <w:kern w:val="0"/>
                <w:sz w:val="21"/>
                <w:szCs w:val="21"/>
                <w:highlight w:val="none"/>
                <w:lang w:eastAsia="zh-CN" w:bidi="ar"/>
              </w:rPr>
            </w:pPr>
            <w:r>
              <w:rPr>
                <w:rFonts w:hint="eastAsia" w:ascii="宋体" w:hAnsi="宋体" w:eastAsia="宋体" w:cs="宋体"/>
                <w:i w:val="0"/>
                <w:iCs w:val="0"/>
                <w:color w:val="auto"/>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28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p>
        </w:tc>
        <w:tc>
          <w:tcPr>
            <w:tcW w:w="95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bidi="ar"/>
              </w:rPr>
              <w:t>知识产权</w:t>
            </w: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bidi="ar"/>
              </w:rPr>
              <w:t>★</w:t>
            </w:r>
          </w:p>
        </w:tc>
        <w:tc>
          <w:tcPr>
            <w:tcW w:w="26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auto"/>
                <w:kern w:val="0"/>
                <w:sz w:val="21"/>
                <w:szCs w:val="21"/>
                <w:highlight w:val="none"/>
                <w:lang w:bidi="ar"/>
              </w:rPr>
            </w:pPr>
            <w:r>
              <w:rPr>
                <w:rFonts w:hint="eastAsia" w:ascii="宋体" w:hAnsi="宋体" w:eastAsia="宋体" w:cs="宋体"/>
                <w:i w:val="0"/>
                <w:iCs w:val="0"/>
                <w:color w:val="auto"/>
                <w:kern w:val="0"/>
                <w:sz w:val="21"/>
                <w:szCs w:val="21"/>
                <w:highlight w:val="none"/>
                <w:lang w:bidi="ar"/>
              </w:rPr>
              <w:t>报价供应商应当保证采购单位在使用该</w:t>
            </w:r>
            <w:r>
              <w:rPr>
                <w:rFonts w:hint="eastAsia" w:ascii="宋体" w:hAnsi="宋体" w:eastAsia="宋体" w:cs="宋体"/>
                <w:i w:val="0"/>
                <w:iCs w:val="0"/>
                <w:color w:val="auto"/>
                <w:kern w:val="0"/>
                <w:sz w:val="21"/>
                <w:szCs w:val="21"/>
                <w:highlight w:val="none"/>
                <w:lang w:val="en-US" w:eastAsia="zh-CN" w:bidi="ar"/>
              </w:rPr>
              <w:t>产品</w:t>
            </w:r>
            <w:r>
              <w:rPr>
                <w:rFonts w:hint="eastAsia" w:ascii="宋体" w:hAnsi="宋体" w:eastAsia="宋体" w:cs="宋体"/>
                <w:i w:val="0"/>
                <w:iCs w:val="0"/>
                <w:color w:val="auto"/>
                <w:kern w:val="0"/>
                <w:sz w:val="21"/>
                <w:szCs w:val="21"/>
                <w:highlight w:val="none"/>
                <w:lang w:bidi="ar"/>
              </w:rPr>
              <w:t>或其任何一部分时，不受第三方侵权指控。同时，报价供应商不得向第三方泄露采购机构提供的技术文件等材料。 基于项目合同履行形成的知识产权和其他权益，其权属归采购单位所有，法律另有规定的除外。</w:t>
            </w:r>
          </w:p>
        </w:tc>
        <w:tc>
          <w:tcPr>
            <w:tcW w:w="73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snapToGrid/>
              <w:spacing w:line="320" w:lineRule="exact"/>
              <w:jc w:val="center"/>
              <w:textAlignment w:val="center"/>
              <w:rPr>
                <w:rFonts w:hint="eastAsia" w:ascii="宋体" w:hAnsi="宋体" w:eastAsia="宋体" w:cs="宋体"/>
                <w:i w:val="0"/>
                <w:iCs w:val="0"/>
                <w:color w:val="auto"/>
                <w:kern w:val="0"/>
                <w:sz w:val="21"/>
                <w:szCs w:val="21"/>
                <w:highlight w:val="none"/>
                <w:lang w:eastAsia="zh-CN" w:bidi="ar"/>
              </w:rPr>
            </w:pPr>
            <w:r>
              <w:rPr>
                <w:rFonts w:hint="eastAsia" w:ascii="宋体" w:hAnsi="宋体" w:eastAsia="宋体" w:cs="宋体"/>
                <w:i w:val="0"/>
                <w:iCs w:val="0"/>
                <w:color w:val="auto"/>
                <w:kern w:val="0"/>
                <w:sz w:val="21"/>
                <w:szCs w:val="21"/>
                <w:highlight w:val="none"/>
                <w:lang w:val="en-US" w:eastAsia="zh-CN" w:bidi="ar"/>
              </w:rPr>
              <w:t>企业承诺</w:t>
            </w:r>
          </w:p>
        </w:tc>
      </w:tr>
      <w:tr>
        <w:tblPrEx>
          <w:tblCellMar>
            <w:top w:w="0" w:type="dxa"/>
            <w:left w:w="108" w:type="dxa"/>
            <w:bottom w:w="0" w:type="dxa"/>
            <w:right w:w="108" w:type="dxa"/>
          </w:tblCellMar>
        </w:tblPrEx>
        <w:trPr>
          <w:trHeight w:val="500" w:hRule="atLeast"/>
        </w:trPr>
        <w:tc>
          <w:tcPr>
            <w:tcW w:w="5000" w:type="pct"/>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b/>
                <w:bCs/>
                <w:sz w:val="21"/>
                <w:szCs w:val="21"/>
              </w:rPr>
            </w:pPr>
            <w:r>
              <w:rPr>
                <w:rFonts w:hint="eastAsia" w:ascii="宋体" w:hAnsi="宋体" w:eastAsia="宋体" w:cs="宋体"/>
                <w:b/>
                <w:bCs/>
                <w:sz w:val="21"/>
                <w:szCs w:val="21"/>
              </w:rPr>
              <w:t>说明：1.加注“★”号的技术指标为关键指标，≥1项未达到招标文件要求，即做废标处理</w:t>
            </w:r>
          </w:p>
          <w:p>
            <w:pPr>
              <w:keepNext w:val="0"/>
              <w:keepLines w:val="0"/>
              <w:pageBreakBefore w:val="0"/>
              <w:kinsoku/>
              <w:wordWrap/>
              <w:overflowPunct/>
              <w:topLinePunct w:val="0"/>
              <w:autoSpaceDE/>
              <w:autoSpaceDN/>
              <w:bidi w:val="0"/>
              <w:adjustRightInd/>
              <w:snapToGrid/>
              <w:spacing w:line="300" w:lineRule="exact"/>
              <w:ind w:firstLine="632" w:firstLineChars="300"/>
              <w:jc w:val="left"/>
              <w:rPr>
                <w:rFonts w:hint="eastAsia" w:ascii="宋体" w:hAnsi="宋体" w:eastAsia="宋体" w:cs="宋体"/>
                <w:b/>
                <w:bCs/>
                <w:sz w:val="21"/>
                <w:szCs w:val="21"/>
                <w:highlight w:val="none"/>
              </w:rPr>
            </w:pPr>
            <w:r>
              <w:rPr>
                <w:rFonts w:hint="eastAsia" w:ascii="宋体" w:hAnsi="宋体" w:eastAsia="宋体" w:cs="宋体"/>
                <w:b/>
                <w:bCs/>
                <w:sz w:val="21"/>
                <w:szCs w:val="21"/>
              </w:rPr>
              <w:t>2.加注“▲”号的技术指标为重要指标</w:t>
            </w:r>
          </w:p>
          <w:p>
            <w:pPr>
              <w:keepNext w:val="0"/>
              <w:keepLines w:val="0"/>
              <w:pageBreakBefore w:val="0"/>
              <w:widowControl/>
              <w:kinsoku/>
              <w:wordWrap/>
              <w:overflowPunct/>
              <w:topLinePunct w:val="0"/>
              <w:bidi w:val="0"/>
              <w:snapToGrid/>
              <w:spacing w:line="320" w:lineRule="exact"/>
              <w:jc w:val="left"/>
              <w:textAlignment w:val="center"/>
              <w:rPr>
                <w:rFonts w:hint="eastAsia" w:ascii="宋体" w:hAnsi="宋体" w:eastAsia="宋体" w:cs="宋体"/>
                <w:i w:val="0"/>
                <w:iCs w:val="0"/>
                <w:color w:val="auto"/>
                <w:kern w:val="0"/>
                <w:sz w:val="21"/>
                <w:szCs w:val="21"/>
                <w:highlight w:val="none"/>
                <w:lang w:val="en-US" w:eastAsia="zh-CN" w:bidi="ar"/>
              </w:rPr>
            </w:pPr>
            <w:r>
              <w:rPr>
                <w:rFonts w:hint="eastAsia" w:ascii="宋体" w:hAnsi="宋体" w:eastAsia="宋体" w:cs="宋体"/>
                <w:b/>
                <w:bCs/>
                <w:sz w:val="21"/>
                <w:szCs w:val="21"/>
                <w:highlight w:val="none"/>
              </w:rPr>
              <w:t>3.加注“★”、“▲”号</w:t>
            </w:r>
            <w:r>
              <w:rPr>
                <w:rFonts w:hint="eastAsia" w:ascii="宋体" w:hAnsi="宋体" w:eastAsia="宋体" w:cs="宋体"/>
                <w:b/>
                <w:bCs/>
                <w:sz w:val="21"/>
                <w:szCs w:val="21"/>
                <w:highlight w:val="none"/>
                <w:lang w:eastAsia="zh-CN"/>
              </w:rPr>
              <w:t>的</w:t>
            </w:r>
            <w:r>
              <w:rPr>
                <w:rFonts w:hint="eastAsia" w:ascii="宋体" w:hAnsi="宋体" w:eastAsia="宋体" w:cs="宋体"/>
                <w:b/>
                <w:bCs/>
                <w:sz w:val="21"/>
                <w:szCs w:val="21"/>
                <w:highlight w:val="none"/>
              </w:rPr>
              <w:t>技术指标均需投标企业提供证明材料</w:t>
            </w:r>
            <w:r>
              <w:rPr>
                <w:rFonts w:hint="eastAsia" w:ascii="宋体" w:hAnsi="宋体" w:eastAsia="宋体" w:cs="宋体"/>
                <w:b/>
                <w:bCs/>
                <w:kern w:val="0"/>
                <w:sz w:val="21"/>
                <w:szCs w:val="21"/>
                <w:highlight w:val="none"/>
                <w:lang w:bidi="ar"/>
              </w:rPr>
              <w:t>（证明材料为“</w:t>
            </w:r>
            <w:r>
              <w:rPr>
                <w:rFonts w:hint="eastAsia" w:ascii="宋体" w:hAnsi="宋体" w:eastAsia="宋体" w:cs="宋体"/>
                <w:b/>
                <w:bCs/>
                <w:kern w:val="0"/>
                <w:sz w:val="21"/>
                <w:szCs w:val="21"/>
                <w:highlight w:val="none"/>
                <w:lang w:eastAsia="zh-CN" w:bidi="ar"/>
              </w:rPr>
              <w:t>企业</w:t>
            </w:r>
            <w:r>
              <w:rPr>
                <w:rFonts w:hint="eastAsia" w:ascii="宋体" w:hAnsi="宋体" w:eastAsia="宋体" w:cs="宋体"/>
                <w:b/>
                <w:bCs/>
                <w:kern w:val="0"/>
                <w:sz w:val="21"/>
                <w:szCs w:val="21"/>
                <w:highlight w:val="none"/>
                <w:lang w:bidi="ar"/>
              </w:rPr>
              <w:t>承诺”的，在技术商务指标参数响应偏离表</w:t>
            </w:r>
            <w:r>
              <w:rPr>
                <w:rFonts w:hint="eastAsia" w:ascii="宋体" w:hAnsi="宋体" w:eastAsia="宋体" w:cs="宋体"/>
                <w:b/>
                <w:bCs/>
                <w:color w:val="000000"/>
                <w:sz w:val="21"/>
                <w:szCs w:val="21"/>
                <w:highlight w:val="none"/>
              </w:rPr>
              <w:t>中体现即可</w:t>
            </w:r>
            <w:r>
              <w:rPr>
                <w:rFonts w:hint="eastAsia" w:ascii="宋体" w:hAnsi="宋体" w:eastAsia="宋体" w:cs="宋体"/>
                <w:b/>
                <w:bCs/>
                <w:kern w:val="0"/>
                <w:sz w:val="21"/>
                <w:szCs w:val="21"/>
                <w:highlight w:val="none"/>
                <w:lang w:bidi="ar"/>
              </w:rPr>
              <w:t>）</w:t>
            </w:r>
          </w:p>
        </w:tc>
      </w:tr>
    </w:tbl>
    <w:p>
      <w:bookmarkStart w:id="0" w:name="_GoBack"/>
      <w:bookmarkEnd w:id="0"/>
    </w:p>
    <w:sectPr>
      <w:pgSz w:w="11906" w:h="16838"/>
      <w:pgMar w:top="1134"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ulim">
    <w:panose1 w:val="020B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wOWRjZTg3ZjBlNWMzYzE4YjA1Yzg1MzdmOWRhYTcifQ=="/>
  </w:docVars>
  <w:rsids>
    <w:rsidRoot w:val="00000000"/>
    <w:rsid w:val="1C2A7D8E"/>
    <w:rsid w:val="3AF1243C"/>
    <w:rsid w:val="41FD572E"/>
    <w:rsid w:val="7D0B4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semiHidden/>
    <w:unhideWhenUsed/>
    <w:qFormat/>
    <w:uiPriority w:val="99"/>
    <w:pPr>
      <w:ind w:firstLine="420" w:firstLineChars="200"/>
    </w:pPr>
  </w:style>
  <w:style w:type="paragraph" w:customStyle="1" w:styleId="6">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2025-05-12T11:58:00Z</dcterms:created>
  <dc:creator>DOCTOR</dc:creator>
  <cp:lastModifiedBy>DOCTOR</cp:lastModifiedBy>
  <dcterms:modified xsi:type="dcterms:W3CDTF">2025-07-11T00:23:23Z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8923F17829784343B44F927D21602F24_12</vt:lpwstr>
  </property>
</Properties>
</file>