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rPr>
      </w:pPr>
      <w:r>
        <w:rPr>
          <w:rFonts w:hint="eastAsia" w:ascii="宋体" w:hAnsi="宋体" w:eastAsia="宋体" w:cs="宋体"/>
          <w:bCs/>
          <w:i w:val="0"/>
          <w:iCs/>
          <w:sz w:val="28"/>
          <w:szCs w:val="28"/>
          <w:highlight w:val="none"/>
        </w:rPr>
        <w:t>按照采购单位提供的技术要求拟制。关键性技术指标参数前标记“</w:t>
      </w:r>
      <w:r>
        <w:rPr>
          <w:rFonts w:hint="eastAsia" w:asciiTheme="minorEastAsia" w:hAnsiTheme="minorEastAsia" w:eastAsiaTheme="minorEastAsia" w:cstheme="minorEastAsia"/>
          <w:color w:val="000000"/>
          <w:kern w:val="0"/>
          <w:sz w:val="21"/>
          <w:szCs w:val="21"/>
          <w:lang w:eastAsia="zh-CN" w:bidi="ar"/>
        </w:rPr>
        <w:t>★</w:t>
      </w:r>
      <w:r>
        <w:rPr>
          <w:rFonts w:hint="eastAsia" w:ascii="宋体" w:hAnsi="宋体" w:eastAsia="宋体" w:cs="宋体"/>
          <w:bCs/>
          <w:i w:val="0"/>
          <w:iCs/>
          <w:sz w:val="28"/>
          <w:szCs w:val="28"/>
          <w:highlight w:val="none"/>
        </w:rPr>
        <w:t>”符号，一般性指标参数前不作标记。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lang w:eastAsia="zh-CN"/>
        </w:rPr>
      </w:pPr>
      <w:r>
        <w:rPr>
          <w:rFonts w:hint="eastAsia"/>
          <w:sz w:val="28"/>
          <w:szCs w:val="28"/>
        </w:rPr>
        <w:t>带“</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w:t>
      </w:r>
      <w:r>
        <w:rPr>
          <w:rFonts w:hint="eastAsia"/>
          <w:sz w:val="28"/>
          <w:szCs w:val="28"/>
          <w:lang w:eastAsia="zh-CN"/>
        </w:rPr>
        <w:t>和</w:t>
      </w:r>
      <w:r>
        <w:rPr>
          <w:rFonts w:hint="eastAsia"/>
          <w:sz w:val="28"/>
          <w:szCs w:val="28"/>
        </w:rPr>
        <w:t>“</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”条款</w:t>
      </w:r>
      <w:r>
        <w:rPr>
          <w:rFonts w:hint="eastAsia" w:ascii="宋体" w:hAnsi="宋体" w:eastAsia="宋体" w:cs="宋体"/>
          <w:bCs/>
          <w:i w:val="0"/>
          <w:iCs/>
          <w:sz w:val="28"/>
          <w:szCs w:val="28"/>
          <w:highlight w:val="none"/>
        </w:rPr>
        <w:t>需提供技术支持材料</w:t>
      </w:r>
      <w:r>
        <w:rPr>
          <w:rFonts w:hint="eastAsia" w:ascii="宋体" w:hAnsi="宋体" w:eastAsia="宋体" w:cs="宋体"/>
          <w:bCs/>
          <w:i w:val="0"/>
          <w:iCs/>
          <w:sz w:val="28"/>
          <w:szCs w:val="28"/>
          <w:highlight w:val="none"/>
          <w:lang w:eastAsia="zh-CN"/>
        </w:rPr>
        <w:t>【①技术要求中明确的</w:t>
      </w:r>
      <w:r>
        <w:rPr>
          <w:rFonts w:hint="eastAsia" w:ascii="宋体" w:hAnsi="宋体" w:eastAsia="宋体" w:cs="宋体"/>
          <w:bCs/>
          <w:i w:val="0"/>
          <w:iCs/>
          <w:sz w:val="28"/>
          <w:szCs w:val="28"/>
          <w:highlight w:val="none"/>
        </w:rPr>
        <w:t>技术支持材料以具体项目为准</w:t>
      </w:r>
      <w:r>
        <w:rPr>
          <w:rFonts w:hint="eastAsia" w:ascii="宋体" w:hAnsi="宋体" w:eastAsia="宋体" w:cs="宋体"/>
          <w:bCs/>
          <w:i w:val="0"/>
          <w:iCs/>
          <w:sz w:val="28"/>
          <w:szCs w:val="28"/>
          <w:highlight w:val="none"/>
          <w:lang w:eastAsia="zh-CN"/>
        </w:rPr>
        <w:t>；②未明确的</w:t>
      </w:r>
      <w:r>
        <w:rPr>
          <w:rFonts w:hint="eastAsia" w:ascii="宋体" w:hAnsi="宋体" w:eastAsia="宋体" w:cs="宋体"/>
          <w:bCs/>
          <w:i w:val="0"/>
          <w:iCs/>
          <w:sz w:val="28"/>
          <w:szCs w:val="28"/>
          <w:highlight w:val="none"/>
        </w:rPr>
        <w:t>技术支持材料可以从（不限于）以下支持材料选择：产品规格表、产品宣传彩页、技术白皮书、制造商官方网站发布的产品信息、说明书等或检</w:t>
      </w:r>
      <w:bookmarkStart w:id="1" w:name="_GoBack"/>
      <w:bookmarkEnd w:id="1"/>
      <w:r>
        <w:rPr>
          <w:rFonts w:hint="eastAsia" w:ascii="宋体" w:hAnsi="宋体" w:eastAsia="宋体" w:cs="宋体"/>
          <w:bCs/>
          <w:i w:val="0"/>
          <w:iCs/>
          <w:sz w:val="28"/>
          <w:szCs w:val="28"/>
          <w:highlight w:val="none"/>
        </w:rPr>
        <w:t>测机构出具的检测报告等技术材料支持的</w:t>
      </w:r>
      <w:r>
        <w:rPr>
          <w:rFonts w:hint="eastAsia" w:ascii="宋体" w:hAnsi="宋体" w:eastAsia="宋体" w:cs="宋体"/>
          <w:bCs/>
          <w:i w:val="0"/>
          <w:iCs/>
          <w:sz w:val="28"/>
          <w:szCs w:val="28"/>
          <w:highlight w:val="none"/>
          <w:lang w:eastAsia="zh-CN"/>
        </w:rPr>
        <w:t>（定制产品除外</w:t>
      </w:r>
      <w:r>
        <w:rPr>
          <w:rFonts w:hint="eastAsia" w:ascii="宋体" w:hAnsi="宋体" w:eastAsia="宋体" w:cs="宋体"/>
          <w:bCs/>
          <w:i w:val="0"/>
          <w:iCs/>
          <w:sz w:val="28"/>
          <w:szCs w:val="28"/>
          <w:highlight w:val="none"/>
        </w:rPr>
        <w:t>）</w:t>
      </w:r>
      <w:r>
        <w:rPr>
          <w:rFonts w:hint="eastAsia" w:ascii="宋体" w:hAnsi="宋体" w:eastAsia="宋体" w:cs="宋体"/>
          <w:bCs/>
          <w:i w:val="0"/>
          <w:iCs/>
          <w:sz w:val="28"/>
          <w:szCs w:val="28"/>
          <w:highlight w:val="none"/>
          <w:lang w:eastAsia="zh-CN"/>
        </w:rPr>
        <w:t>；③定制产品的技术支持材料可提供响应承诺。】</w:t>
      </w:r>
    </w:p>
    <w:tbl>
      <w:tblPr>
        <w:tblStyle w:val="4"/>
        <w:tblW w:w="4997" w:type="pct"/>
        <w:jc w:val="center"/>
        <w:tblLayout w:type="fixed"/>
        <w:tblCellMar>
          <w:top w:w="0" w:type="dxa"/>
          <w:left w:w="108" w:type="dxa"/>
          <w:bottom w:w="0" w:type="dxa"/>
          <w:right w:w="108" w:type="dxa"/>
        </w:tblCellMar>
      </w:tblPr>
      <w:tblGrid>
        <w:gridCol w:w="510"/>
        <w:gridCol w:w="1290"/>
        <w:gridCol w:w="715"/>
        <w:gridCol w:w="259"/>
        <w:gridCol w:w="4831"/>
        <w:gridCol w:w="690"/>
        <w:gridCol w:w="1271"/>
      </w:tblGrid>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序号</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需求名称</w:t>
            </w:r>
          </w:p>
        </w:tc>
        <w:tc>
          <w:tcPr>
            <w:tcW w:w="509"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参数</w:t>
            </w:r>
          </w:p>
          <w:p>
            <w:pPr>
              <w:widowControl/>
              <w:spacing w:line="24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性质</w:t>
            </w:r>
          </w:p>
        </w:tc>
        <w:tc>
          <w:tcPr>
            <w:tcW w:w="2525"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需求具体内容</w:t>
            </w:r>
          </w:p>
        </w:tc>
        <w:tc>
          <w:tcPr>
            <w:tcW w:w="360" w:type="pct"/>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是否</w:t>
            </w:r>
            <w:r>
              <w:rPr>
                <w:rFonts w:hint="eastAsia" w:ascii="宋体" w:hAnsi="宋体" w:eastAsia="宋体" w:cs="宋体"/>
                <w:b/>
                <w:bCs/>
                <w:i w:val="0"/>
                <w:iCs w:val="0"/>
                <w:kern w:val="0"/>
                <w:sz w:val="21"/>
                <w:szCs w:val="21"/>
                <w:lang w:bidi="ar"/>
              </w:rPr>
              <w:br w:type="textWrapping"/>
            </w:r>
            <w:r>
              <w:rPr>
                <w:rFonts w:hint="eastAsia" w:ascii="宋体" w:hAnsi="宋体" w:eastAsia="宋体" w:cs="宋体"/>
                <w:b/>
                <w:bCs/>
                <w:i w:val="0"/>
                <w:iCs w:val="0"/>
                <w:kern w:val="0"/>
                <w:sz w:val="21"/>
                <w:szCs w:val="21"/>
                <w:lang w:bidi="ar"/>
              </w:rPr>
              <w:t>量化</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sz w:val="21"/>
                <w:szCs w:val="21"/>
              </w:rPr>
            </w:pPr>
            <w:r>
              <w:rPr>
                <w:rFonts w:hint="eastAsia" w:ascii="宋体" w:hAnsi="宋体" w:eastAsia="宋体" w:cs="宋体"/>
                <w:b/>
                <w:bCs/>
                <w:i w:val="0"/>
                <w:iCs w:val="0"/>
                <w:kern w:val="0"/>
                <w:sz w:val="21"/>
                <w:szCs w:val="21"/>
                <w:lang w:bidi="ar"/>
              </w:rPr>
              <w:t>备注（证明材料等其他要求）</w:t>
            </w:r>
          </w:p>
        </w:tc>
      </w:tr>
      <w:tr>
        <w:tblPrEx>
          <w:tblCellMar>
            <w:top w:w="0" w:type="dxa"/>
            <w:left w:w="108" w:type="dxa"/>
            <w:bottom w:w="0" w:type="dxa"/>
            <w:right w:w="108" w:type="dxa"/>
          </w:tblCellMar>
        </w:tblPrEx>
        <w:trPr>
          <w:trHeight w:val="500"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b/>
                <w:bCs/>
                <w:i w:val="0"/>
                <w:iCs w:val="0"/>
                <w:kern w:val="0"/>
                <w:sz w:val="21"/>
                <w:szCs w:val="21"/>
                <w:lang w:bidi="ar"/>
              </w:rPr>
            </w:pPr>
            <w:r>
              <w:rPr>
                <w:rFonts w:hint="eastAsia" w:ascii="宋体" w:hAnsi="宋体" w:eastAsia="宋体" w:cs="宋体"/>
                <w:b/>
                <w:bCs/>
                <w:i w:val="0"/>
                <w:iCs w:val="0"/>
                <w:kern w:val="0"/>
                <w:sz w:val="21"/>
                <w:szCs w:val="21"/>
                <w:lang w:bidi="ar"/>
              </w:rPr>
              <w:t>技术要求</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基本要求</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研制融合脑电与脑血氧信号的麻醉深度组件工程样机，用于连续地监测麻醉剂对患者大脑的作用效果，监测并显示患者的麻醉深度。</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92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2</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工程样机</w:t>
            </w:r>
          </w:p>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配置</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工程样机3套：其中2套实现与麻醉监护高级生命支持一体机集成的麻醉深度组件采集终端模块、1套联合显示终端独立使用的主机</w:t>
            </w:r>
            <w:r>
              <w:rPr>
                <w:rFonts w:hint="eastAsia" w:ascii="宋体" w:hAnsi="宋体" w:eastAsia="宋体" w:cs="宋体"/>
                <w:i w:val="0"/>
                <w:iCs w:val="0"/>
                <w:kern w:val="0"/>
                <w:sz w:val="21"/>
                <w:szCs w:val="21"/>
                <w:lang w:bidi="ar"/>
              </w:rPr>
              <w:t>（其中技术要求第5、6、12、18、19五条参数为主机独有技术参数要求，其他技术参数为2套麻醉深度组件采集终端模块和1套联合显示终端独立使用的主机的通用技术要求）</w:t>
            </w:r>
            <w:r>
              <w:rPr>
                <w:rFonts w:hint="eastAsia" w:ascii="宋体" w:hAnsi="宋体" w:eastAsia="宋体" w:cs="宋体"/>
                <w:i w:val="0"/>
                <w:iCs w:val="0"/>
                <w:color w:val="000000"/>
                <w:kern w:val="0"/>
                <w:sz w:val="21"/>
                <w:szCs w:val="21"/>
                <w:lang w:bidi="ar"/>
              </w:rPr>
              <w:t>；基于机器学习算法的麻醉深度智能评估模型1个。</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3</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标准规范</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医用电气设备基本安全和基本性能的通用要求:符合GB9706.1-2020；</w:t>
            </w:r>
          </w:p>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电磁兼容要求：符合YY9706.102-2021的规定；</w:t>
            </w:r>
          </w:p>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环境试验要求：符合GB/T14710-2009中气候环境试验Ⅱ组。</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4</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信号质量</w:t>
            </w:r>
          </w:p>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指数</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范围(0～100)，实时监测记录。</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5</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210" w:firstLineChars="100"/>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显示信息</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kern w:val="0"/>
                <w:sz w:val="21"/>
                <w:szCs w:val="21"/>
                <w:lang w:bidi="ar"/>
              </w:rPr>
              <w:t>双通道脑电（波形、BIS指数）、左脑氧饱和度（波形及数值）、右脑氧饱和度（波形及数值）、融合脑电与脑血氧的麻醉深度指数（0-100）；屏幕显示≥1小时的双通道脑电和双通道脑氧变化趋势。</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8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6</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数据存储</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kern w:val="0"/>
                <w:sz w:val="21"/>
                <w:szCs w:val="21"/>
                <w:lang w:bidi="ar"/>
              </w:rPr>
              <w:t>存储双通道脑电、双通道脑血氧数据、BIS值、质量信号指数、融合脑电与脑血氧的麻醉深度指数；存储≥1000小时的历史数据和≥60小时趋势图形，并通过USB输出。</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7</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滤波功能</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有效过滤肌电和电刀干扰。</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8</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传感器重量</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一体化传</w:t>
            </w:r>
            <w:r>
              <w:rPr>
                <w:rFonts w:hint="eastAsia" w:ascii="宋体" w:hAnsi="宋体" w:eastAsia="宋体" w:cs="宋体"/>
                <w:b w:val="0"/>
                <w:bCs w:val="0"/>
                <w:i w:val="0"/>
                <w:iCs w:val="0"/>
                <w:color w:val="auto"/>
                <w:kern w:val="0"/>
                <w:sz w:val="21"/>
                <w:szCs w:val="21"/>
                <w:lang w:bidi="ar"/>
              </w:rPr>
              <w:t>感器重量≤200g</w:t>
            </w:r>
            <w:r>
              <w:rPr>
                <w:rFonts w:hint="eastAsia" w:ascii="宋体" w:hAnsi="宋体" w:eastAsia="宋体" w:cs="宋体"/>
                <w:b w:val="0"/>
                <w:bCs w:val="0"/>
                <w:i w:val="0"/>
                <w:iCs w:val="0"/>
                <w:color w:val="auto"/>
                <w:kern w:val="0"/>
                <w:sz w:val="21"/>
                <w:szCs w:val="21"/>
                <w:lang w:eastAsia="zh-CN" w:bidi="ar"/>
              </w:rPr>
              <w:t>（</w:t>
            </w:r>
            <w:r>
              <w:rPr>
                <w:rFonts w:hint="eastAsia" w:ascii="宋体" w:hAnsi="宋体" w:eastAsia="宋体" w:cs="宋体"/>
                <w:b w:val="0"/>
                <w:bCs w:val="0"/>
                <w:i w:val="0"/>
                <w:iCs w:val="0"/>
                <w:color w:val="auto"/>
                <w:kern w:val="0"/>
                <w:sz w:val="21"/>
                <w:szCs w:val="21"/>
                <w:lang w:val="en-US" w:eastAsia="zh-CN" w:bidi="ar"/>
              </w:rPr>
              <w:t>量化评审</w:t>
            </w:r>
            <w:r>
              <w:rPr>
                <w:rFonts w:hint="eastAsia" w:ascii="宋体" w:hAnsi="宋体" w:eastAsia="宋体" w:cs="宋体"/>
                <w:b w:val="0"/>
                <w:bCs w:val="0"/>
                <w:i w:val="0"/>
                <w:iCs w:val="0"/>
                <w:color w:val="auto"/>
                <w:kern w:val="0"/>
                <w:sz w:val="21"/>
                <w:szCs w:val="21"/>
                <w:lang w:eastAsia="zh-CN" w:bidi="ar"/>
              </w:rPr>
              <w:t>）</w:t>
            </w:r>
            <w:r>
              <w:rPr>
                <w:rFonts w:hint="eastAsia" w:ascii="宋体" w:hAnsi="宋体" w:eastAsia="宋体" w:cs="宋体"/>
                <w:b w:val="0"/>
                <w:bCs w:val="0"/>
                <w:i w:val="0"/>
                <w:iCs w:val="0"/>
                <w:color w:val="auto"/>
                <w:kern w:val="0"/>
                <w:sz w:val="21"/>
                <w:szCs w:val="21"/>
                <w:lang w:bidi="ar"/>
              </w:rPr>
              <w:t>。</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是</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9</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误差时间</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实现脑血氧、脑电同步监测，同步误差≤100ms。</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10</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准确率</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与传统BIS做对比验证，麻醉深度智能评估模型准确率≥90%。</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11</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麻醉深度组件采集终端</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麻醉深度组件采集终端重量≤850g，尺寸≤180mm*150mm*</w:t>
            </w:r>
            <w:r>
              <w:rPr>
                <w:rFonts w:hint="eastAsia" w:ascii="宋体" w:hAnsi="宋体" w:eastAsia="宋体" w:cs="宋体"/>
                <w:b/>
                <w:bCs/>
                <w:i w:val="0"/>
                <w:iCs w:val="0"/>
                <w:color w:val="000000" w:themeColor="text1"/>
                <w:kern w:val="0"/>
                <w:sz w:val="21"/>
                <w:szCs w:val="21"/>
                <w:lang w:bidi="ar"/>
                <w14:textFill>
                  <w14:solidFill>
                    <w14:schemeClr w14:val="tx1"/>
                  </w14:solidFill>
                </w14:textFill>
              </w:rPr>
              <w:t>7</w:t>
            </w:r>
            <w:r>
              <w:rPr>
                <w:rFonts w:hint="eastAsia" w:ascii="宋体" w:hAnsi="宋体" w:eastAsia="宋体" w:cs="宋体"/>
                <w:i w:val="0"/>
                <w:iCs w:val="0"/>
                <w:kern w:val="0"/>
                <w:sz w:val="21"/>
                <w:szCs w:val="21"/>
                <w:lang w:bidi="ar"/>
              </w:rPr>
              <w:t>0mm。</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12</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报警音量</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具备≥3种音量可调。</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13</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采样率</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每通道脑电采样率≥256Hz，每通道脑血氧采样率≥10Hz。</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14</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color w:val="000000"/>
                <w:kern w:val="0"/>
                <w:sz w:val="21"/>
                <w:szCs w:val="21"/>
                <w:lang w:bidi="ar"/>
              </w:rPr>
              <w:t>脑血氧范围及精度</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双通道脑血氧值显示范围：</w:t>
            </w:r>
            <w:bookmarkStart w:id="0" w:name="OLE_LINK3"/>
            <w:r>
              <w:rPr>
                <w:rFonts w:hint="eastAsia" w:ascii="宋体" w:hAnsi="宋体" w:eastAsia="宋体" w:cs="宋体"/>
                <w:i w:val="0"/>
                <w:iCs w:val="0"/>
                <w:kern w:val="0"/>
                <w:sz w:val="21"/>
                <w:szCs w:val="21"/>
                <w:lang w:bidi="ar"/>
              </w:rPr>
              <w:t>0-</w:t>
            </w:r>
            <w:bookmarkEnd w:id="0"/>
            <w:r>
              <w:rPr>
                <w:rFonts w:hint="eastAsia" w:ascii="宋体" w:hAnsi="宋体" w:eastAsia="宋体" w:cs="宋体"/>
                <w:i w:val="0"/>
                <w:iCs w:val="0"/>
                <w:kern w:val="0"/>
                <w:sz w:val="21"/>
                <w:szCs w:val="21"/>
                <w:lang w:bidi="ar"/>
              </w:rPr>
              <w:t>100（其中50-90之间的精度误差≤±5%）。</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15</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通信协议</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支持HL7协议的脑电、脑血氧数据传输，实现与麻醉机监护高级生命支持一体机数据的同屏显示。</w:t>
            </w:r>
          </w:p>
        </w:tc>
        <w:tc>
          <w:tcPr>
            <w:tcW w:w="360"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16</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模型</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kern w:val="0"/>
                <w:sz w:val="21"/>
                <w:szCs w:val="21"/>
                <w:lang w:bidi="ar"/>
              </w:rPr>
              <w:t>模型响应时间≤20s、数据更新时间≤2s。</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17</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工作环境</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color w:val="00000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工作海拔高度≥4000m，支持的工作环境温度：5℃-40℃、湿度：≤70%、无凝霜。</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18</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主机</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sz w:val="21"/>
                <w:szCs w:val="21"/>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一体化设计，</w:t>
            </w:r>
            <w:r>
              <w:rPr>
                <w:rFonts w:hint="eastAsia" w:ascii="宋体" w:hAnsi="宋体" w:eastAsia="宋体" w:cs="宋体"/>
                <w:b w:val="0"/>
                <w:bCs w:val="0"/>
                <w:i w:val="0"/>
                <w:iCs w:val="0"/>
                <w:color w:val="auto"/>
                <w:kern w:val="0"/>
                <w:sz w:val="21"/>
                <w:szCs w:val="21"/>
                <w:lang w:bidi="ar"/>
              </w:rPr>
              <w:t>5英寸≤彩色触摸屏≤12英寸，主机重量≤2.5kg</w:t>
            </w:r>
            <w:r>
              <w:rPr>
                <w:rFonts w:hint="eastAsia" w:ascii="宋体" w:hAnsi="宋体" w:eastAsia="宋体" w:cs="宋体"/>
                <w:b w:val="0"/>
                <w:bCs w:val="0"/>
                <w:i w:val="0"/>
                <w:iCs w:val="0"/>
                <w:color w:val="auto"/>
                <w:kern w:val="0"/>
                <w:sz w:val="21"/>
                <w:szCs w:val="21"/>
                <w:lang w:eastAsia="zh-CN" w:bidi="ar"/>
              </w:rPr>
              <w:t>（</w:t>
            </w:r>
            <w:r>
              <w:rPr>
                <w:rFonts w:hint="eastAsia" w:ascii="宋体" w:hAnsi="宋体" w:eastAsia="宋体" w:cs="宋体"/>
                <w:b w:val="0"/>
                <w:bCs w:val="0"/>
                <w:i w:val="0"/>
                <w:iCs w:val="0"/>
                <w:color w:val="auto"/>
                <w:kern w:val="0"/>
                <w:sz w:val="21"/>
                <w:szCs w:val="21"/>
                <w:lang w:val="en-US" w:eastAsia="zh-CN" w:bidi="ar"/>
              </w:rPr>
              <w:t>量化评审）</w:t>
            </w:r>
            <w:r>
              <w:rPr>
                <w:rFonts w:hint="eastAsia" w:ascii="宋体" w:hAnsi="宋体" w:eastAsia="宋体" w:cs="宋体"/>
                <w:b w:val="0"/>
                <w:bCs w:val="0"/>
                <w:i w:val="0"/>
                <w:iCs w:val="0"/>
                <w:color w:val="auto"/>
                <w:kern w:val="0"/>
                <w:sz w:val="21"/>
                <w:szCs w:val="21"/>
                <w:lang w:bidi="ar"/>
              </w:rPr>
              <w:t>，尺寸≤</w:t>
            </w:r>
            <w:r>
              <w:rPr>
                <w:rFonts w:hint="eastAsia" w:ascii="宋体" w:hAnsi="宋体" w:eastAsia="宋体" w:cs="宋体"/>
                <w:i w:val="0"/>
                <w:iCs w:val="0"/>
                <w:kern w:val="0"/>
                <w:sz w:val="21"/>
                <w:szCs w:val="21"/>
                <w:lang w:bidi="ar"/>
              </w:rPr>
              <w:t>200mm*200mm*150mm;具备自检报警功能。</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是</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19</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功率</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支持220V市</w:t>
            </w:r>
            <w:r>
              <w:rPr>
                <w:rFonts w:hint="eastAsia" w:ascii="宋体" w:hAnsi="宋体" w:eastAsia="宋体" w:cs="宋体"/>
                <w:b w:val="0"/>
                <w:bCs w:val="0"/>
                <w:i w:val="0"/>
                <w:iCs w:val="0"/>
                <w:color w:val="auto"/>
                <w:kern w:val="0"/>
                <w:sz w:val="21"/>
                <w:szCs w:val="21"/>
                <w:lang w:bidi="ar"/>
              </w:rPr>
              <w:t>电和锂电池供电，自带电池续航时间≥1h，整机功率≤20W</w:t>
            </w:r>
            <w:r>
              <w:rPr>
                <w:rFonts w:hint="eastAsia" w:ascii="宋体" w:hAnsi="宋体" w:eastAsia="宋体" w:cs="宋体"/>
                <w:b w:val="0"/>
                <w:bCs w:val="0"/>
                <w:i w:val="0"/>
                <w:iCs w:val="0"/>
                <w:color w:val="auto"/>
                <w:kern w:val="0"/>
                <w:sz w:val="21"/>
                <w:szCs w:val="21"/>
                <w:lang w:eastAsia="zh-CN" w:bidi="ar"/>
              </w:rPr>
              <w:t>（</w:t>
            </w:r>
            <w:r>
              <w:rPr>
                <w:rFonts w:hint="eastAsia" w:ascii="宋体" w:hAnsi="宋体" w:eastAsia="宋体" w:cs="宋体"/>
                <w:b w:val="0"/>
                <w:bCs w:val="0"/>
                <w:i w:val="0"/>
                <w:iCs w:val="0"/>
                <w:color w:val="auto"/>
                <w:kern w:val="0"/>
                <w:sz w:val="21"/>
                <w:szCs w:val="21"/>
                <w:lang w:val="en-US" w:eastAsia="zh-CN" w:bidi="ar"/>
              </w:rPr>
              <w:t>量化评审</w:t>
            </w:r>
            <w:r>
              <w:rPr>
                <w:rFonts w:hint="eastAsia" w:ascii="宋体" w:hAnsi="宋体" w:eastAsia="宋体" w:cs="宋体"/>
                <w:b w:val="0"/>
                <w:bCs w:val="0"/>
                <w:i w:val="0"/>
                <w:iCs w:val="0"/>
                <w:color w:val="auto"/>
                <w:kern w:val="0"/>
                <w:sz w:val="21"/>
                <w:szCs w:val="21"/>
                <w:lang w:eastAsia="zh-CN" w:bidi="ar"/>
              </w:rPr>
              <w:t>）</w:t>
            </w:r>
            <w:r>
              <w:rPr>
                <w:rFonts w:hint="eastAsia" w:ascii="宋体" w:hAnsi="宋体" w:eastAsia="宋体" w:cs="宋体"/>
                <w:b w:val="0"/>
                <w:bCs w:val="0"/>
                <w:i w:val="0"/>
                <w:iCs w:val="0"/>
                <w:color w:val="auto"/>
                <w:kern w:val="0"/>
                <w:sz w:val="21"/>
                <w:szCs w:val="21"/>
                <w:lang w:bidi="ar"/>
              </w:rPr>
              <w:t>。</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是</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20</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技术文档</w:t>
            </w:r>
          </w:p>
        </w:tc>
        <w:tc>
          <w:tcPr>
            <w:tcW w:w="373"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kern w:val="0"/>
                <w:sz w:val="21"/>
                <w:szCs w:val="21"/>
                <w:lang w:bidi="ar"/>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设计图纸1份、PCB图纸1份、外观结构设计图纸1份、测试大纲1份、自测报告1份、算法技术文档1份、使用手册1份。</w:t>
            </w:r>
          </w:p>
        </w:tc>
        <w:tc>
          <w:tcPr>
            <w:tcW w:w="360"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kern w:val="0"/>
                <w:sz w:val="21"/>
                <w:szCs w:val="21"/>
                <w:lang w:bidi="ar"/>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21</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测试报告</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配合甲方完成工程样机第三方测试及应用示范。</w:t>
            </w:r>
          </w:p>
        </w:tc>
        <w:tc>
          <w:tcPr>
            <w:tcW w:w="360"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kern w:val="0"/>
                <w:sz w:val="21"/>
                <w:szCs w:val="21"/>
                <w:lang w:bidi="ar"/>
              </w:rPr>
            </w:pP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iCs/>
                <w:kern w:val="0"/>
                <w:sz w:val="21"/>
                <w:szCs w:val="21"/>
                <w:lang w:bidi="ar"/>
              </w:rPr>
            </w:pPr>
            <w:r>
              <w:rPr>
                <w:rFonts w:hint="eastAsia" w:ascii="宋体" w:hAnsi="宋体" w:eastAsia="宋体" w:cs="宋体"/>
                <w:i/>
                <w:iCs/>
                <w:kern w:val="0"/>
                <w:sz w:val="21"/>
                <w:szCs w:val="21"/>
                <w:lang w:bidi="ar"/>
              </w:rPr>
              <w:t>22</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iCs/>
                <w:kern w:val="0"/>
                <w:sz w:val="21"/>
                <w:szCs w:val="21"/>
                <w:lang w:bidi="ar"/>
              </w:rPr>
            </w:pPr>
            <w:r>
              <w:rPr>
                <w:rFonts w:hint="eastAsia" w:ascii="宋体" w:hAnsi="宋体" w:eastAsia="宋体" w:cs="宋体"/>
                <w:i/>
                <w:iCs/>
                <w:kern w:val="0"/>
                <w:sz w:val="21"/>
                <w:szCs w:val="21"/>
                <w:lang w:bidi="ar"/>
              </w:rPr>
              <w:t>技术能力要求</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iCs/>
                <w:kern w:val="0"/>
                <w:sz w:val="21"/>
                <w:szCs w:val="21"/>
                <w:lang w:bidi="ar"/>
              </w:rPr>
            </w:pP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iCs/>
                <w:kern w:val="0"/>
                <w:sz w:val="21"/>
                <w:szCs w:val="21"/>
                <w:lang w:bidi="ar"/>
              </w:rPr>
            </w:pPr>
            <w:r>
              <w:rPr>
                <w:rFonts w:hint="eastAsia" w:ascii="宋体" w:hAnsi="宋体" w:eastAsia="宋体" w:cs="宋体"/>
                <w:i/>
                <w:iCs/>
                <w:kern w:val="0"/>
                <w:sz w:val="21"/>
                <w:szCs w:val="21"/>
                <w:lang w:bidi="ar"/>
              </w:rPr>
              <w:t>已经获得二类或三类医疗器械证不少于2个。</w:t>
            </w:r>
          </w:p>
        </w:tc>
        <w:tc>
          <w:tcPr>
            <w:tcW w:w="360" w:type="pct"/>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iCs/>
                <w:kern w:val="0"/>
                <w:sz w:val="21"/>
                <w:szCs w:val="21"/>
                <w:lang w:bidi="ar"/>
              </w:rPr>
            </w:pPr>
            <w:r>
              <w:rPr>
                <w:rFonts w:hint="eastAsia" w:ascii="宋体" w:hAnsi="宋体" w:eastAsia="宋体" w:cs="宋体"/>
                <w:i/>
                <w:iCs/>
                <w:kern w:val="0"/>
                <w:sz w:val="21"/>
                <w:szCs w:val="21"/>
                <w:lang w:bidi="ar"/>
              </w:rPr>
              <w:t>是</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iCs/>
                <w:kern w:val="0"/>
                <w:sz w:val="21"/>
                <w:szCs w:val="21"/>
                <w:lang w:bidi="ar"/>
              </w:rPr>
            </w:pPr>
            <w:r>
              <w:rPr>
                <w:rFonts w:hint="eastAsia" w:ascii="宋体" w:hAnsi="宋体" w:eastAsia="宋体" w:cs="宋体"/>
                <w:i/>
                <w:iCs/>
                <w:kern w:val="0"/>
                <w:sz w:val="21"/>
                <w:szCs w:val="21"/>
                <w:lang w:bidi="ar"/>
              </w:rPr>
              <w:t>企业证明材料</w:t>
            </w:r>
          </w:p>
        </w:tc>
      </w:tr>
      <w:tr>
        <w:tblPrEx>
          <w:tblCellMar>
            <w:top w:w="0" w:type="dxa"/>
            <w:left w:w="108" w:type="dxa"/>
            <w:bottom w:w="0" w:type="dxa"/>
            <w:right w:w="108" w:type="dxa"/>
          </w:tblCellMar>
        </w:tblPrEx>
        <w:trPr>
          <w:trHeight w:val="500"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b/>
                <w:bCs/>
                <w:i w:val="0"/>
                <w:iCs w:val="0"/>
                <w:kern w:val="0"/>
                <w:sz w:val="21"/>
                <w:szCs w:val="21"/>
                <w:lang w:eastAsia="zh-CN" w:bidi="ar"/>
              </w:rPr>
              <w:t>商务</w:t>
            </w:r>
            <w:r>
              <w:rPr>
                <w:rFonts w:hint="eastAsia" w:ascii="宋体" w:hAnsi="宋体" w:eastAsia="宋体" w:cs="宋体"/>
                <w:b/>
                <w:bCs/>
                <w:i w:val="0"/>
                <w:iCs w:val="0"/>
                <w:kern w:val="0"/>
                <w:sz w:val="21"/>
                <w:szCs w:val="21"/>
                <w:lang w:bidi="ar"/>
              </w:rPr>
              <w:t>要求</w:t>
            </w:r>
          </w:p>
        </w:tc>
      </w:tr>
      <w:tr>
        <w:tblPrEx>
          <w:tblCellMar>
            <w:top w:w="0" w:type="dxa"/>
            <w:left w:w="108" w:type="dxa"/>
            <w:bottom w:w="0" w:type="dxa"/>
            <w:right w:w="108" w:type="dxa"/>
          </w:tblCellMar>
        </w:tblPrEx>
        <w:trPr>
          <w:trHeight w:val="499"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1</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交货时间、交货地点</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合同签订后12个月内交付，交付地点为北京市海淀区。</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企业承诺</w:t>
            </w:r>
          </w:p>
        </w:tc>
      </w:tr>
      <w:tr>
        <w:tblPrEx>
          <w:tblCellMar>
            <w:top w:w="0" w:type="dxa"/>
            <w:left w:w="108" w:type="dxa"/>
            <w:bottom w:w="0" w:type="dxa"/>
            <w:right w:w="108" w:type="dxa"/>
          </w:tblCellMar>
        </w:tblPrEx>
        <w:trPr>
          <w:trHeight w:val="499"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lang w:bidi="ar"/>
              </w:rPr>
            </w:pPr>
            <w:r>
              <w:rPr>
                <w:rFonts w:hint="eastAsia" w:ascii="宋体" w:hAnsi="宋体" w:eastAsia="宋体" w:cs="宋体"/>
                <w:i w:val="0"/>
                <w:iCs w:val="0"/>
                <w:sz w:val="21"/>
                <w:szCs w:val="21"/>
                <w:lang w:bidi="ar"/>
              </w:rPr>
              <w:t>2</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付款及结算方式</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签订合同付（预付）30%，验收通过后付65%。</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企业承诺</w:t>
            </w:r>
          </w:p>
        </w:tc>
      </w:tr>
      <w:tr>
        <w:tblPrEx>
          <w:tblCellMar>
            <w:top w:w="0" w:type="dxa"/>
            <w:left w:w="108" w:type="dxa"/>
            <w:bottom w:w="0" w:type="dxa"/>
            <w:right w:w="108" w:type="dxa"/>
          </w:tblCellMar>
        </w:tblPrEx>
        <w:trPr>
          <w:trHeight w:val="454"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3</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履约保证金/质量保证金</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质保期结束后支付剩余5%。</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54"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4</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售后服务1</w:t>
            </w:r>
          </w:p>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质保年限不低于2年，使用期内停机时间不高于5%（按365日/年计算)。</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5</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售后服务2</w:t>
            </w:r>
          </w:p>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质保期内免费提供定期维护保养服务，免费提供使用培训。</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6</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售后服务3</w:t>
            </w:r>
          </w:p>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（质保）</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提供不少于6人次的工程师维修培训。</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499"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7</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售后服务4</w:t>
            </w:r>
            <w:r>
              <w:rPr>
                <w:rFonts w:hint="eastAsia" w:ascii="宋体" w:hAnsi="宋体" w:eastAsia="宋体" w:cs="宋体"/>
                <w:i w:val="0"/>
                <w:iCs w:val="0"/>
                <w:kern w:val="0"/>
                <w:sz w:val="21"/>
                <w:szCs w:val="21"/>
                <w:lang w:bidi="ar"/>
              </w:rPr>
              <w:br w:type="textWrapping"/>
            </w:r>
            <w:r>
              <w:rPr>
                <w:rFonts w:hint="eastAsia" w:ascii="宋体" w:hAnsi="宋体" w:eastAsia="宋体" w:cs="宋体"/>
                <w:i w:val="0"/>
                <w:iCs w:val="0"/>
                <w:kern w:val="0"/>
                <w:sz w:val="21"/>
                <w:szCs w:val="21"/>
                <w:lang w:bidi="ar"/>
              </w:rPr>
              <w:t>（响应时间）</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维修响应时间≤24小时，维修到达现场时间≤48小时。</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sz w:val="21"/>
                <w:szCs w:val="21"/>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sz w:val="21"/>
                <w:szCs w:val="21"/>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72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8</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备品备件要求（零配件）</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由供应商承诺项目使用寿命周期内保证耗材（脑电脑血氧采集传感器）供应。</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500"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9</w:t>
            </w:r>
          </w:p>
        </w:tc>
        <w:tc>
          <w:tcPr>
            <w:tcW w:w="67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物资编目编码、打码贴签要求</w:t>
            </w:r>
          </w:p>
        </w:tc>
        <w:tc>
          <w:tcPr>
            <w:tcW w:w="37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w:t>
            </w:r>
          </w:p>
        </w:tc>
        <w:tc>
          <w:tcPr>
            <w:tcW w:w="2660" w:type="pct"/>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kern w:val="0"/>
                <w:sz w:val="21"/>
                <w:szCs w:val="21"/>
                <w:lang w:bidi="ar"/>
              </w:rPr>
            </w:pPr>
            <w:r>
              <w:rPr>
                <w:rFonts w:hint="eastAsia" w:ascii="宋体" w:hAnsi="宋体" w:eastAsia="宋体" w:cs="宋体"/>
                <w:i w:val="0"/>
                <w:iCs w:val="0"/>
                <w:color w:val="000000"/>
                <w:kern w:val="0"/>
                <w:sz w:val="21"/>
                <w:szCs w:val="21"/>
                <w:lang w:bidi="ar"/>
              </w:rPr>
              <w:t>本项目对物资的编目编码、打码贴签要求，报价供应商应当予以明确响应，相关费用包含在报价中。</w:t>
            </w:r>
          </w:p>
        </w:tc>
        <w:tc>
          <w:tcPr>
            <w:tcW w:w="36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否</w:t>
            </w:r>
          </w:p>
        </w:tc>
        <w:tc>
          <w:tcPr>
            <w:tcW w:w="66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i w:val="0"/>
                <w:iCs w:val="0"/>
                <w:kern w:val="0"/>
                <w:sz w:val="21"/>
                <w:szCs w:val="21"/>
                <w:lang w:bidi="ar"/>
              </w:rPr>
            </w:pPr>
            <w:r>
              <w:rPr>
                <w:rFonts w:hint="eastAsia" w:ascii="宋体" w:hAnsi="宋体" w:eastAsia="宋体" w:cs="宋体"/>
                <w:i w:val="0"/>
                <w:iCs w:val="0"/>
                <w:kern w:val="0"/>
                <w:sz w:val="21"/>
                <w:szCs w:val="21"/>
                <w:lang w:bidi="ar"/>
              </w:rPr>
              <w:t>企业承诺</w:t>
            </w:r>
          </w:p>
        </w:tc>
      </w:tr>
      <w:tr>
        <w:tblPrEx>
          <w:tblCellMar>
            <w:top w:w="0" w:type="dxa"/>
            <w:left w:w="108" w:type="dxa"/>
            <w:bottom w:w="0" w:type="dxa"/>
            <w:right w:w="108" w:type="dxa"/>
          </w:tblCellMar>
        </w:tblPrEx>
        <w:trPr>
          <w:trHeight w:val="1266" w:hRule="atLeast"/>
          <w:jc w:val="center"/>
        </w:trPr>
        <w:tc>
          <w:tcPr>
            <w:tcW w:w="5000" w:type="pct"/>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sz w:val="21"/>
                <w:szCs w:val="21"/>
              </w:rPr>
            </w:pPr>
            <w:r>
              <w:rPr>
                <w:rFonts w:hint="eastAsia" w:ascii="宋体" w:hAnsi="宋体" w:eastAsia="宋体" w:cs="宋体"/>
                <w:b/>
                <w:bCs/>
                <w:sz w:val="21"/>
                <w:szCs w:val="21"/>
              </w:rPr>
              <w:t>说明：1.加注“★”号的技术指标为关键指标，≥1项未达到招标文件要求，即做废标处理</w:t>
            </w:r>
          </w:p>
          <w:p>
            <w:pPr>
              <w:keepNext w:val="0"/>
              <w:keepLines w:val="0"/>
              <w:pageBreakBefore w:val="0"/>
              <w:kinsoku/>
              <w:wordWrap/>
              <w:overflowPunct/>
              <w:topLinePunct w:val="0"/>
              <w:autoSpaceDE/>
              <w:autoSpaceDN/>
              <w:bidi w:val="0"/>
              <w:adjustRightInd/>
              <w:snapToGrid/>
              <w:spacing w:line="300" w:lineRule="exact"/>
              <w:ind w:firstLine="632" w:firstLineChars="300"/>
              <w:jc w:val="left"/>
              <w:rPr>
                <w:rFonts w:hint="eastAsia" w:ascii="宋体" w:hAnsi="宋体" w:eastAsia="宋体" w:cs="宋体"/>
                <w:b/>
                <w:bCs/>
                <w:sz w:val="21"/>
                <w:szCs w:val="21"/>
                <w:highlight w:val="none"/>
              </w:rPr>
            </w:pPr>
            <w:r>
              <w:rPr>
                <w:rFonts w:hint="eastAsia" w:ascii="宋体" w:hAnsi="宋体" w:eastAsia="宋体" w:cs="宋体"/>
                <w:b/>
                <w:bCs/>
                <w:sz w:val="21"/>
                <w:szCs w:val="21"/>
              </w:rPr>
              <w:t>2.加注“▲”号的技术指标为重要指标</w:t>
            </w:r>
          </w:p>
          <w:p>
            <w:pPr>
              <w:widowControl/>
              <w:spacing w:line="240" w:lineRule="exact"/>
              <w:ind w:firstLine="632" w:firstLineChars="300"/>
              <w:jc w:val="left"/>
              <w:textAlignment w:val="center"/>
              <w:rPr>
                <w:rFonts w:hint="eastAsia" w:ascii="宋体" w:hAnsi="宋体" w:eastAsia="宋体" w:cs="宋体"/>
                <w:i w:val="0"/>
                <w:iCs w:val="0"/>
                <w:kern w:val="0"/>
                <w:sz w:val="21"/>
                <w:szCs w:val="21"/>
                <w:lang w:bidi="ar"/>
              </w:rPr>
            </w:pPr>
            <w:r>
              <w:rPr>
                <w:rFonts w:hint="eastAsia" w:ascii="宋体" w:hAnsi="宋体" w:eastAsia="宋体" w:cs="宋体"/>
                <w:b/>
                <w:bCs/>
                <w:sz w:val="21"/>
                <w:szCs w:val="21"/>
                <w:highlight w:val="none"/>
              </w:rPr>
              <w:t>3.加注“★”、“▲”号</w:t>
            </w:r>
            <w:r>
              <w:rPr>
                <w:rFonts w:hint="eastAsia" w:ascii="宋体" w:hAnsi="宋体" w:eastAsia="宋体" w:cs="宋体"/>
                <w:b/>
                <w:bCs/>
                <w:sz w:val="21"/>
                <w:szCs w:val="21"/>
                <w:highlight w:val="none"/>
                <w:lang w:eastAsia="zh-CN"/>
              </w:rPr>
              <w:t>的</w:t>
            </w:r>
            <w:r>
              <w:rPr>
                <w:rFonts w:hint="eastAsia" w:ascii="宋体" w:hAnsi="宋体" w:eastAsia="宋体" w:cs="宋体"/>
                <w:b/>
                <w:bCs/>
                <w:sz w:val="21"/>
                <w:szCs w:val="21"/>
                <w:highlight w:val="none"/>
              </w:rPr>
              <w:t>技术指标均需投标企业提供证明材料</w:t>
            </w:r>
            <w:r>
              <w:rPr>
                <w:rFonts w:hint="eastAsia" w:ascii="宋体" w:hAnsi="宋体" w:eastAsia="宋体" w:cs="宋体"/>
                <w:b/>
                <w:bCs/>
                <w:kern w:val="0"/>
                <w:sz w:val="21"/>
                <w:szCs w:val="21"/>
                <w:highlight w:val="none"/>
                <w:lang w:bidi="ar"/>
              </w:rPr>
              <w:t>（证明材料为“</w:t>
            </w:r>
            <w:r>
              <w:rPr>
                <w:rFonts w:hint="eastAsia" w:ascii="宋体" w:hAnsi="宋体" w:eastAsia="宋体" w:cs="宋体"/>
                <w:b/>
                <w:bCs/>
                <w:kern w:val="0"/>
                <w:sz w:val="21"/>
                <w:szCs w:val="21"/>
                <w:highlight w:val="none"/>
                <w:lang w:eastAsia="zh-CN" w:bidi="ar"/>
              </w:rPr>
              <w:t>企业</w:t>
            </w:r>
            <w:r>
              <w:rPr>
                <w:rFonts w:hint="eastAsia" w:ascii="宋体" w:hAnsi="宋体" w:eastAsia="宋体" w:cs="宋体"/>
                <w:b/>
                <w:bCs/>
                <w:kern w:val="0"/>
                <w:sz w:val="21"/>
                <w:szCs w:val="21"/>
                <w:highlight w:val="none"/>
                <w:lang w:bidi="ar"/>
              </w:rPr>
              <w:t>承诺”的，在技术商务指标参数响应偏离表</w:t>
            </w:r>
            <w:r>
              <w:rPr>
                <w:rFonts w:hint="eastAsia" w:ascii="宋体" w:hAnsi="宋体" w:eastAsia="宋体" w:cs="宋体"/>
                <w:b/>
                <w:bCs/>
                <w:color w:val="000000"/>
                <w:sz w:val="21"/>
                <w:szCs w:val="21"/>
                <w:highlight w:val="none"/>
              </w:rPr>
              <w:t>中体现即可</w:t>
            </w:r>
            <w:r>
              <w:rPr>
                <w:rFonts w:hint="eastAsia" w:ascii="宋体" w:hAnsi="宋体" w:eastAsia="宋体" w:cs="宋体"/>
                <w:b/>
                <w:bCs/>
                <w:kern w:val="0"/>
                <w:sz w:val="21"/>
                <w:szCs w:val="21"/>
                <w:highlight w:val="none"/>
                <w:lang w:bidi="ar"/>
              </w:rPr>
              <w:t>）</w:t>
            </w:r>
          </w:p>
        </w:tc>
      </w:tr>
    </w:tbl>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OWRjZTg3ZjBlNWMzYzE4YjA1Yzg1MzdmOWRhYTcifQ=="/>
  </w:docVars>
  <w:rsids>
    <w:rsidRoot w:val="00000000"/>
    <w:rsid w:val="3AF1243C"/>
    <w:rsid w:val="41FD572E"/>
    <w:rsid w:val="55E837DF"/>
    <w:rsid w:val="63E400ED"/>
    <w:rsid w:val="7D0B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2025-05-12T11:58:00Z</dcterms:created>
  <dc:creator>DOCTOR</dc:creator>
  <cp:lastModifiedBy>DOCTOR</cp:lastModifiedBy>
  <dcterms:modified xsi:type="dcterms:W3CDTF">2025-07-14T10:32:23Z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8923F17829784343B44F927D21602F24_12</vt:lpwstr>
  </property>
</Properties>
</file>