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i w:val="0"/>
          <w:iCs/>
          <w:sz w:val="28"/>
          <w:szCs w:val="28"/>
          <w:highlight w:val="none"/>
        </w:rPr>
      </w:pPr>
      <w:r>
        <w:rPr>
          <w:rFonts w:hint="eastAsia" w:ascii="宋体" w:hAnsi="宋体" w:eastAsia="宋体" w:cs="宋体"/>
          <w:bCs/>
          <w:i w:val="0"/>
          <w:iCs/>
          <w:sz w:val="28"/>
          <w:szCs w:val="28"/>
          <w:highlight w:val="none"/>
        </w:rPr>
        <w:t>按照采购单位提供的技术要求拟制。关键性技术指标参数前标记“</w:t>
      </w:r>
      <w:r>
        <w:rPr>
          <w:rFonts w:hint="eastAsia" w:asciiTheme="minorEastAsia" w:hAnsiTheme="minorEastAsia" w:eastAsiaTheme="minorEastAsia" w:cstheme="minorEastAsia"/>
          <w:color w:val="000000"/>
          <w:kern w:val="0"/>
          <w:sz w:val="21"/>
          <w:szCs w:val="21"/>
          <w:lang w:eastAsia="zh-CN" w:bidi="ar"/>
        </w:rPr>
        <w:t>★</w:t>
      </w:r>
      <w:r>
        <w:rPr>
          <w:rFonts w:hint="eastAsia" w:ascii="宋体" w:hAnsi="宋体" w:eastAsia="宋体" w:cs="宋体"/>
          <w:bCs/>
          <w:i w:val="0"/>
          <w:iCs/>
          <w:sz w:val="28"/>
          <w:szCs w:val="28"/>
          <w:highlight w:val="none"/>
        </w:rPr>
        <w:t>”符号，一般性指标参数前不作标记。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i w:val="0"/>
          <w:iCs/>
          <w:sz w:val="28"/>
          <w:szCs w:val="28"/>
          <w:highlight w:val="none"/>
          <w:lang w:eastAsia="zh-CN"/>
        </w:rPr>
      </w:pPr>
      <w:r>
        <w:rPr>
          <w:rFonts w:hint="eastAsia"/>
          <w:sz w:val="28"/>
          <w:szCs w:val="28"/>
        </w:rPr>
        <w:t>带“</w:t>
      </w:r>
      <w:r>
        <w:rPr>
          <w:rFonts w:hint="eastAsia" w:asciiTheme="minorEastAsia" w:hAnsiTheme="minorEastAsia" w:eastAsiaTheme="minorEastAsia" w:cstheme="minorEastAsia"/>
          <w:color w:val="000000"/>
          <w:kern w:val="0"/>
          <w:sz w:val="21"/>
          <w:szCs w:val="21"/>
          <w:lang w:eastAsia="zh-CN" w:bidi="ar"/>
        </w:rPr>
        <w:t>★</w:t>
      </w:r>
      <w:r>
        <w:rPr>
          <w:rFonts w:hint="eastAsia"/>
          <w:sz w:val="28"/>
          <w:szCs w:val="28"/>
        </w:rPr>
        <w:t>”</w:t>
      </w:r>
      <w:r>
        <w:rPr>
          <w:rFonts w:hint="eastAsia"/>
          <w:sz w:val="28"/>
          <w:szCs w:val="28"/>
          <w:lang w:eastAsia="zh-CN"/>
        </w:rPr>
        <w:t>和</w:t>
      </w:r>
      <w:r>
        <w:rPr>
          <w:rFonts w:hint="eastAsia"/>
          <w:sz w:val="28"/>
          <w:szCs w:val="28"/>
        </w:rPr>
        <w:t>“</w:t>
      </w:r>
      <w:r>
        <w:rPr>
          <w:rFonts w:hint="eastAsia" w:asciiTheme="minorEastAsia" w:hAnsiTheme="minorEastAsia" w:eastAsiaTheme="minorEastAsia" w:cstheme="minorEastAsia"/>
          <w:color w:val="000000"/>
          <w:kern w:val="0"/>
          <w:sz w:val="21"/>
          <w:szCs w:val="21"/>
          <w:lang w:eastAsia="zh-CN" w:bidi="ar"/>
        </w:rPr>
        <w:t>▲</w:t>
      </w:r>
      <w:r>
        <w:rPr>
          <w:rFonts w:hint="eastAsia"/>
          <w:sz w:val="28"/>
          <w:szCs w:val="28"/>
        </w:rPr>
        <w:t>”条款</w:t>
      </w:r>
      <w:r>
        <w:rPr>
          <w:rFonts w:hint="eastAsia" w:ascii="宋体" w:hAnsi="宋体" w:eastAsia="宋体" w:cs="宋体"/>
          <w:bCs/>
          <w:i w:val="0"/>
          <w:iCs/>
          <w:sz w:val="28"/>
          <w:szCs w:val="28"/>
          <w:highlight w:val="none"/>
        </w:rPr>
        <w:t>需提供技术支持材料</w:t>
      </w:r>
      <w:r>
        <w:rPr>
          <w:rFonts w:hint="eastAsia" w:ascii="宋体" w:hAnsi="宋体" w:eastAsia="宋体" w:cs="宋体"/>
          <w:bCs/>
          <w:i w:val="0"/>
          <w:iCs/>
          <w:sz w:val="28"/>
          <w:szCs w:val="28"/>
          <w:highlight w:val="none"/>
          <w:lang w:eastAsia="zh-CN"/>
        </w:rPr>
        <w:t>【①技术要求中明确的</w:t>
      </w:r>
      <w:r>
        <w:rPr>
          <w:rFonts w:hint="eastAsia" w:ascii="宋体" w:hAnsi="宋体" w:eastAsia="宋体" w:cs="宋体"/>
          <w:bCs/>
          <w:i w:val="0"/>
          <w:iCs/>
          <w:sz w:val="28"/>
          <w:szCs w:val="28"/>
          <w:highlight w:val="none"/>
        </w:rPr>
        <w:t>技术支持材料以具体项目为准</w:t>
      </w:r>
      <w:r>
        <w:rPr>
          <w:rFonts w:hint="eastAsia" w:ascii="宋体" w:hAnsi="宋体" w:eastAsia="宋体" w:cs="宋体"/>
          <w:bCs/>
          <w:i w:val="0"/>
          <w:iCs/>
          <w:sz w:val="28"/>
          <w:szCs w:val="28"/>
          <w:highlight w:val="none"/>
          <w:lang w:eastAsia="zh-CN"/>
        </w:rPr>
        <w:t>；②未明确的</w:t>
      </w:r>
      <w:r>
        <w:rPr>
          <w:rFonts w:hint="eastAsia" w:ascii="宋体" w:hAnsi="宋体" w:eastAsia="宋体" w:cs="宋体"/>
          <w:bCs/>
          <w:i w:val="0"/>
          <w:iCs/>
          <w:sz w:val="28"/>
          <w:szCs w:val="28"/>
          <w:highlight w:val="none"/>
        </w:rPr>
        <w:t>技术支持材料可以从（不限于）以下支持材料选择：产品规格表、产品</w:t>
      </w:r>
      <w:bookmarkStart w:id="2" w:name="_GoBack"/>
      <w:bookmarkEnd w:id="2"/>
      <w:r>
        <w:rPr>
          <w:rFonts w:hint="eastAsia" w:ascii="宋体" w:hAnsi="宋体" w:eastAsia="宋体" w:cs="宋体"/>
          <w:bCs/>
          <w:i w:val="0"/>
          <w:iCs/>
          <w:sz w:val="28"/>
          <w:szCs w:val="28"/>
          <w:highlight w:val="none"/>
        </w:rPr>
        <w:t>宣传彩页、技术白皮书、制造商官方网站发布的产品信息、说明书等或检测机构出具的检测报告等技术材料支持的</w:t>
      </w:r>
      <w:r>
        <w:rPr>
          <w:rFonts w:hint="eastAsia" w:ascii="宋体" w:hAnsi="宋体" w:eastAsia="宋体" w:cs="宋体"/>
          <w:bCs/>
          <w:i w:val="0"/>
          <w:iCs/>
          <w:sz w:val="28"/>
          <w:szCs w:val="28"/>
          <w:highlight w:val="none"/>
          <w:lang w:eastAsia="zh-CN"/>
        </w:rPr>
        <w:t>（定制产品除外</w:t>
      </w:r>
      <w:r>
        <w:rPr>
          <w:rFonts w:hint="eastAsia" w:ascii="宋体" w:hAnsi="宋体" w:eastAsia="宋体" w:cs="宋体"/>
          <w:bCs/>
          <w:i w:val="0"/>
          <w:iCs/>
          <w:sz w:val="28"/>
          <w:szCs w:val="28"/>
          <w:highlight w:val="none"/>
        </w:rPr>
        <w:t>）</w:t>
      </w:r>
      <w:r>
        <w:rPr>
          <w:rFonts w:hint="eastAsia" w:ascii="宋体" w:hAnsi="宋体" w:eastAsia="宋体" w:cs="宋体"/>
          <w:bCs/>
          <w:i w:val="0"/>
          <w:iCs/>
          <w:sz w:val="28"/>
          <w:szCs w:val="28"/>
          <w:highlight w:val="none"/>
          <w:lang w:eastAsia="zh-CN"/>
        </w:rPr>
        <w:t>；③定制产品的技术支持材料可提供响应承诺。】</w:t>
      </w:r>
    </w:p>
    <w:tbl>
      <w:tblPr>
        <w:tblStyle w:val="5"/>
        <w:tblpPr w:leftFromText="180" w:rightFromText="180" w:vertAnchor="text" w:horzAnchor="page" w:tblpX="1071" w:tblpY="392"/>
        <w:tblOverlap w:val="never"/>
        <w:tblW w:w="9843" w:type="dxa"/>
        <w:tblInd w:w="0" w:type="dxa"/>
        <w:shd w:val="clear" w:color="auto" w:fill="FFFFFF" w:themeFill="background1"/>
        <w:tblLayout w:type="fixed"/>
        <w:tblCellMar>
          <w:top w:w="0" w:type="dxa"/>
          <w:left w:w="108" w:type="dxa"/>
          <w:bottom w:w="0" w:type="dxa"/>
          <w:right w:w="108" w:type="dxa"/>
        </w:tblCellMar>
      </w:tblPr>
      <w:tblGrid>
        <w:gridCol w:w="776"/>
        <w:gridCol w:w="1421"/>
        <w:gridCol w:w="716"/>
        <w:gridCol w:w="4692"/>
        <w:gridCol w:w="885"/>
        <w:gridCol w:w="1353"/>
      </w:tblGrid>
      <w:tr>
        <w:tblPrEx>
          <w:shd w:val="clear" w:color="auto" w:fill="FFFFFF" w:themeFill="background1"/>
          <w:tblCellMar>
            <w:top w:w="0" w:type="dxa"/>
            <w:left w:w="108" w:type="dxa"/>
            <w:bottom w:w="0" w:type="dxa"/>
            <w:right w:w="108" w:type="dxa"/>
          </w:tblCellMar>
        </w:tblPrEx>
        <w:trPr>
          <w:trHeight w:val="50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b/>
                <w:bCs/>
                <w:sz w:val="21"/>
                <w:szCs w:val="21"/>
              </w:rPr>
            </w:pPr>
            <w:r>
              <w:rPr>
                <w:rFonts w:hint="eastAsia" w:ascii="宋体" w:hAnsi="宋体" w:eastAsia="宋体" w:cs="宋体"/>
                <w:b/>
                <w:bCs/>
                <w:kern w:val="0"/>
                <w:sz w:val="21"/>
                <w:szCs w:val="21"/>
              </w:rPr>
              <w:t>序号</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需求名称</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参数</w:t>
            </w:r>
          </w:p>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b/>
                <w:bCs/>
                <w:sz w:val="21"/>
                <w:szCs w:val="21"/>
              </w:rPr>
            </w:pPr>
            <w:r>
              <w:rPr>
                <w:rFonts w:hint="eastAsia" w:ascii="宋体" w:hAnsi="宋体" w:eastAsia="宋体" w:cs="宋体"/>
                <w:b/>
                <w:bCs/>
                <w:kern w:val="0"/>
                <w:sz w:val="21"/>
                <w:szCs w:val="21"/>
              </w:rPr>
              <w:t>性质</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b/>
                <w:bCs/>
                <w:sz w:val="21"/>
                <w:szCs w:val="21"/>
              </w:rPr>
            </w:pPr>
            <w:r>
              <w:rPr>
                <w:rFonts w:hint="eastAsia" w:ascii="宋体" w:hAnsi="宋体" w:eastAsia="宋体" w:cs="宋体"/>
                <w:b/>
                <w:bCs/>
                <w:kern w:val="0"/>
                <w:sz w:val="21"/>
                <w:szCs w:val="21"/>
              </w:rPr>
              <w:t>需求具体内容</w:t>
            </w:r>
          </w:p>
        </w:tc>
        <w:tc>
          <w:tcPr>
            <w:tcW w:w="885" w:type="dxa"/>
            <w:tcBorders>
              <w:top w:val="single" w:color="000000" w:sz="4" w:space="0"/>
              <w:left w:val="single" w:color="000000" w:sz="4" w:space="0"/>
              <w:bottom w:val="nil"/>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b/>
                <w:bCs/>
                <w:sz w:val="21"/>
                <w:szCs w:val="21"/>
              </w:rPr>
            </w:pPr>
            <w:r>
              <w:rPr>
                <w:rFonts w:hint="eastAsia" w:ascii="宋体" w:hAnsi="宋体" w:eastAsia="宋体" w:cs="宋体"/>
                <w:b/>
                <w:bCs/>
                <w:kern w:val="0"/>
                <w:sz w:val="21"/>
                <w:szCs w:val="21"/>
              </w:rPr>
              <w:t>是否</w:t>
            </w:r>
            <w:r>
              <w:rPr>
                <w:rFonts w:hint="eastAsia" w:ascii="宋体" w:hAnsi="宋体" w:eastAsia="宋体" w:cs="宋体"/>
                <w:b/>
                <w:bCs/>
                <w:kern w:val="0"/>
                <w:sz w:val="21"/>
                <w:szCs w:val="21"/>
              </w:rPr>
              <w:br w:type="textWrapping"/>
            </w:r>
            <w:r>
              <w:rPr>
                <w:rFonts w:hint="eastAsia" w:ascii="宋体" w:hAnsi="宋体" w:eastAsia="宋体" w:cs="宋体"/>
                <w:b/>
                <w:bCs/>
                <w:kern w:val="0"/>
                <w:sz w:val="21"/>
                <w:szCs w:val="21"/>
              </w:rPr>
              <w:t>量化</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b/>
                <w:bCs/>
                <w:sz w:val="21"/>
                <w:szCs w:val="21"/>
              </w:rPr>
            </w:pPr>
            <w:r>
              <w:rPr>
                <w:rFonts w:hint="eastAsia" w:ascii="宋体" w:hAnsi="宋体" w:eastAsia="宋体" w:cs="宋体"/>
                <w:b/>
                <w:bCs/>
                <w:kern w:val="0"/>
                <w:sz w:val="21"/>
                <w:szCs w:val="21"/>
              </w:rPr>
              <w:t>备注（证明材料等其他要求）</w:t>
            </w:r>
          </w:p>
        </w:tc>
      </w:tr>
      <w:tr>
        <w:tblPrEx>
          <w:shd w:val="clear" w:color="auto" w:fill="FFFFFF" w:themeFill="background1"/>
          <w:tblCellMar>
            <w:top w:w="0" w:type="dxa"/>
            <w:left w:w="108" w:type="dxa"/>
            <w:bottom w:w="0" w:type="dxa"/>
            <w:right w:w="108" w:type="dxa"/>
          </w:tblCellMar>
        </w:tblPrEx>
        <w:trPr>
          <w:trHeight w:val="500" w:hRule="atLeast"/>
        </w:trPr>
        <w:tc>
          <w:tcPr>
            <w:tcW w:w="9843"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技术要求</w:t>
            </w:r>
          </w:p>
        </w:tc>
      </w:tr>
      <w:tr>
        <w:tblPrEx>
          <w:shd w:val="clear" w:color="auto" w:fill="FFFFFF" w:themeFill="background1"/>
          <w:tblCellMar>
            <w:top w:w="0" w:type="dxa"/>
            <w:left w:w="108" w:type="dxa"/>
            <w:bottom w:w="0" w:type="dxa"/>
            <w:right w:w="108" w:type="dxa"/>
          </w:tblCellMar>
        </w:tblPrEx>
        <w:trPr>
          <w:trHeight w:val="150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sz w:val="21"/>
                <w:szCs w:val="21"/>
              </w:rPr>
            </w:pPr>
            <w:r>
              <w:rPr>
                <w:rFonts w:hint="eastAsia" w:ascii="宋体" w:hAnsi="宋体" w:eastAsia="宋体" w:cs="宋体"/>
                <w:kern w:val="0"/>
                <w:sz w:val="21"/>
                <w:szCs w:val="21"/>
              </w:rPr>
              <w:t>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基本要求</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textAlignment w:val="center"/>
              <w:rPr>
                <w:rFonts w:hint="eastAsia" w:ascii="宋体" w:hAnsi="宋体" w:eastAsia="宋体" w:cs="宋体"/>
                <w:sz w:val="21"/>
                <w:szCs w:val="21"/>
              </w:rPr>
            </w:pPr>
            <w:r>
              <w:rPr>
                <w:rFonts w:hint="eastAsia" w:ascii="宋体" w:hAnsi="宋体" w:eastAsia="宋体" w:cs="宋体"/>
                <w:kern w:val="0"/>
                <w:sz w:val="21"/>
                <w:szCs w:val="21"/>
              </w:rPr>
              <w:t>建设一套皮肤科信息管理系统，包含但不限于：患者管理、联机设备的图像采集和信息获取、数据管理统计与检索功能、报告功能等。系统产生的数据属于内网数据；系统仅允许本地维护。完成与HIS系统和皮肤科现有影像设备对接。并提供服务器1台。且软硬件均为国产品牌。</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sz w:val="21"/>
                <w:szCs w:val="21"/>
              </w:rPr>
            </w:pPr>
            <w:r>
              <w:rPr>
                <w:rFonts w:hint="eastAsia" w:ascii="宋体" w:hAnsi="宋体" w:eastAsia="宋体" w:cs="宋体"/>
                <w:kern w:val="0"/>
                <w:sz w:val="21"/>
                <w:szCs w:val="21"/>
              </w:rPr>
              <w:t>企业承诺函</w:t>
            </w:r>
          </w:p>
        </w:tc>
      </w:tr>
      <w:tr>
        <w:tblPrEx>
          <w:shd w:val="clear" w:color="auto" w:fill="FFFFFF" w:themeFill="background1"/>
          <w:tblCellMar>
            <w:top w:w="0" w:type="dxa"/>
            <w:left w:w="108" w:type="dxa"/>
            <w:bottom w:w="0" w:type="dxa"/>
            <w:right w:w="108" w:type="dxa"/>
          </w:tblCellMar>
        </w:tblPrEx>
        <w:trPr>
          <w:trHeight w:val="50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9067"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患者管理功能</w:t>
            </w:r>
          </w:p>
        </w:tc>
      </w:tr>
      <w:tr>
        <w:tblPrEx>
          <w:shd w:val="clear" w:color="auto" w:fill="FFFFFF" w:themeFill="background1"/>
          <w:tblCellMar>
            <w:top w:w="0" w:type="dxa"/>
            <w:left w:w="108" w:type="dxa"/>
            <w:bottom w:w="0" w:type="dxa"/>
            <w:right w:w="108" w:type="dxa"/>
          </w:tblCellMar>
        </w:tblPrEx>
        <w:trPr>
          <w:trHeight w:val="92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患者管理</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具备患者基本信息登记、新建、修改、检索等功能，每个患者在系统内有唯一标识码。</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sz w:val="21"/>
                <w:szCs w:val="21"/>
              </w:rPr>
            </w:pPr>
          </w:p>
        </w:tc>
      </w:tr>
      <w:tr>
        <w:tblPrEx>
          <w:shd w:val="clear" w:color="auto" w:fill="FFFFFF" w:themeFill="background1"/>
          <w:tblCellMar>
            <w:top w:w="0" w:type="dxa"/>
            <w:left w:w="108" w:type="dxa"/>
            <w:bottom w:w="0" w:type="dxa"/>
            <w:right w:w="108" w:type="dxa"/>
          </w:tblCellMar>
        </w:tblPrEx>
        <w:trPr>
          <w:trHeight w:val="92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2.2</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患者信息登记</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通过患者的ID号、检查单号从HIS提取患者基本信息，同时具备补充录入和修改功能。具备在系统新建患者功能。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sz w:val="21"/>
                <w:szCs w:val="21"/>
              </w:rPr>
            </w:pPr>
          </w:p>
        </w:tc>
      </w:tr>
      <w:tr>
        <w:tblPrEx>
          <w:shd w:val="clear" w:color="auto" w:fill="FFFFFF" w:themeFill="background1"/>
          <w:tblCellMar>
            <w:top w:w="0" w:type="dxa"/>
            <w:left w:w="108" w:type="dxa"/>
            <w:bottom w:w="0" w:type="dxa"/>
            <w:right w:w="108" w:type="dxa"/>
          </w:tblCellMar>
        </w:tblPrEx>
        <w:trPr>
          <w:trHeight w:val="92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2.3</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患者查询</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可通过检查单号码/患者的ID号/姓名等，在本系统检索查询患者及患者完整的病历数据。包含但不限于通过“申请部门或亚专科、申请医生、日期、诊断结果、图片、检查设备、自定义关键字”等检索条件，进行模糊或精确查询。</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sz w:val="21"/>
                <w:szCs w:val="21"/>
              </w:rPr>
            </w:pPr>
          </w:p>
        </w:tc>
      </w:tr>
      <w:tr>
        <w:tblPrEx>
          <w:shd w:val="clear" w:color="auto" w:fill="FFFFFF" w:themeFill="background1"/>
          <w:tblCellMar>
            <w:top w:w="0" w:type="dxa"/>
            <w:left w:w="108" w:type="dxa"/>
            <w:bottom w:w="0" w:type="dxa"/>
            <w:right w:w="108" w:type="dxa"/>
          </w:tblCellMar>
        </w:tblPrEx>
        <w:trPr>
          <w:trHeight w:val="92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2.4</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患者展示</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可展示患者基本信息，查看患者的图像、修改编辑、生成报告；同时可查看患者的病史信息、历史检查数据、历史报告等。</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sz w:val="21"/>
                <w:szCs w:val="21"/>
              </w:rPr>
            </w:pPr>
          </w:p>
        </w:tc>
      </w:tr>
      <w:tr>
        <w:tblPrEx>
          <w:shd w:val="clear" w:color="auto" w:fill="FFFFFF" w:themeFill="background1"/>
          <w:tblCellMar>
            <w:top w:w="0" w:type="dxa"/>
            <w:left w:w="108" w:type="dxa"/>
            <w:bottom w:w="0" w:type="dxa"/>
            <w:right w:w="108" w:type="dxa"/>
          </w:tblCellMar>
        </w:tblPrEx>
        <w:trPr>
          <w:trHeight w:val="92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2.5</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就诊记录展示</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可同时显示病人身份信息、病史信息、医嘱信息、报告结论、展示图片、视频、导入文件等。</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92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2.6</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外部文件导入</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color w:val="000000" w:themeColor="text1"/>
                <w:kern w:val="0"/>
                <w:sz w:val="21"/>
                <w:szCs w:val="21"/>
                <w14:textFill>
                  <w14:solidFill>
                    <w14:schemeClr w14:val="tx1"/>
                  </w14:solidFill>
                </w14:textFill>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可针对单次就诊记录导入文件，文件格式至少包含word、excel、.pdf和.txt等文本文件以及.JPG、.PNG、.BMP等标准图片格式文件，导入的文件具备与就诊记录原有档案合并展示的功能。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提供说明书或软件功能界面截图</w:t>
            </w:r>
          </w:p>
        </w:tc>
      </w:tr>
      <w:tr>
        <w:tblPrEx>
          <w:shd w:val="clear" w:color="auto" w:fill="FFFFFF" w:themeFill="background1"/>
          <w:tblCellMar>
            <w:top w:w="0" w:type="dxa"/>
            <w:left w:w="108" w:type="dxa"/>
            <w:bottom w:w="0" w:type="dxa"/>
            <w:right w:w="108" w:type="dxa"/>
          </w:tblCellMar>
        </w:tblPrEx>
        <w:trPr>
          <w:trHeight w:val="71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2.7</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典型病例收藏</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具备实时收藏典型病例功能。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798"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2.8</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历史病例对比</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系统具备对患者诊断（疾病）不同时期图片进行对比功能，并可导出对比结果。</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513"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9067"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设备联机及检查数据管理功能</w:t>
            </w:r>
          </w:p>
        </w:tc>
      </w:tr>
      <w:tr>
        <w:tblPrEx>
          <w:shd w:val="clear" w:color="auto" w:fill="FFFFFF" w:themeFill="background1"/>
          <w:tblCellMar>
            <w:top w:w="0" w:type="dxa"/>
            <w:left w:w="108" w:type="dxa"/>
            <w:bottom w:w="0" w:type="dxa"/>
            <w:right w:w="108" w:type="dxa"/>
          </w:tblCellMar>
        </w:tblPrEx>
        <w:trPr>
          <w:trHeight w:val="92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功能要求1</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系统具备与皮肤科现有各类型设备联机的功能，包含自带数据库的</w:t>
            </w:r>
            <w:bookmarkStart w:id="0" w:name="OLE_LINK3"/>
            <w:bookmarkStart w:id="1" w:name="OLE_LINK4"/>
            <w:r>
              <w:rPr>
                <w:rFonts w:hint="eastAsia" w:ascii="宋体" w:hAnsi="宋体" w:eastAsia="宋体" w:cs="宋体"/>
                <w:kern w:val="0"/>
                <w:sz w:val="21"/>
                <w:szCs w:val="21"/>
              </w:rPr>
              <w:t>系统版皮肤影像设备类</w:t>
            </w:r>
            <w:bookmarkEnd w:id="0"/>
            <w:bookmarkEnd w:id="1"/>
            <w:r>
              <w:rPr>
                <w:rFonts w:hint="eastAsia" w:ascii="宋体" w:hAnsi="宋体" w:eastAsia="宋体" w:cs="宋体"/>
                <w:kern w:val="0"/>
                <w:sz w:val="21"/>
                <w:szCs w:val="21"/>
              </w:rPr>
              <w:t>、无数据库软件的单机版皮肤影像设备类、无影像的检查检测设备类。</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85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highlight w:val="yellow"/>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3.2</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highlight w:val="yellow"/>
              </w:rPr>
            </w:pPr>
            <w:r>
              <w:rPr>
                <w:rFonts w:hint="eastAsia" w:ascii="宋体" w:hAnsi="宋体" w:eastAsia="宋体" w:cs="宋体"/>
                <w:kern w:val="0"/>
                <w:sz w:val="21"/>
                <w:szCs w:val="21"/>
              </w:rPr>
              <w:t>功能要求2</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highlight w:val="yellow"/>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highlight w:val="yellow"/>
              </w:rPr>
            </w:pPr>
            <w:r>
              <w:rPr>
                <w:rFonts w:hint="eastAsia" w:ascii="宋体" w:hAnsi="宋体" w:eastAsia="宋体" w:cs="宋体"/>
                <w:kern w:val="0"/>
                <w:sz w:val="21"/>
                <w:szCs w:val="21"/>
              </w:rPr>
              <w:t>系统提供皮肤科手工实验项目报告功能，即实现手工实验数据电子化记录、报告、检索功能。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color w:val="000000" w:themeColor="text1"/>
                <w:kern w:val="0"/>
                <w:sz w:val="21"/>
                <w:szCs w:val="21"/>
                <w14:textFill>
                  <w14:solidFill>
                    <w14:schemeClr w14:val="tx1"/>
                  </w14:solidFill>
                </w14:textFill>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90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3.3</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系统版皮肤影像设备联机</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color w:val="000000" w:themeColor="text1"/>
                <w:kern w:val="0"/>
                <w:sz w:val="21"/>
                <w:szCs w:val="21"/>
                <w14:textFill>
                  <w14:solidFill>
                    <w14:schemeClr w14:val="tx1"/>
                  </w14:solidFill>
                </w14:textFill>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具备与皮肤科现有的皮肤镜(德麦特)、皮肤超声（天津迈达）、在体反射式共聚焦显微镜（上海康奥VivaScope1500皮肤CT）设备联机，实现双向通讯功能，自动提取图片和诊断结论。如联机产生费用由中标方支付。</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sz w:val="21"/>
                <w:szCs w:val="21"/>
              </w:rPr>
            </w:pPr>
            <w:r>
              <w:rPr>
                <w:rFonts w:hint="eastAsia" w:ascii="宋体" w:hAnsi="宋体" w:eastAsia="宋体" w:cs="宋体"/>
                <w:kern w:val="0"/>
                <w:sz w:val="21"/>
                <w:szCs w:val="21"/>
              </w:rPr>
              <w:t>提供说明书及企业承诺函</w:t>
            </w:r>
          </w:p>
        </w:tc>
      </w:tr>
      <w:tr>
        <w:tblPrEx>
          <w:shd w:val="clear" w:color="auto" w:fill="FFFFFF" w:themeFill="background1"/>
          <w:tblCellMar>
            <w:top w:w="0" w:type="dxa"/>
            <w:left w:w="108" w:type="dxa"/>
            <w:bottom w:w="0" w:type="dxa"/>
            <w:right w:w="108" w:type="dxa"/>
          </w:tblCellMar>
        </w:tblPrEx>
        <w:trPr>
          <w:trHeight w:val="90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3.4</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单机版皮肤影像设备联机</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color w:val="000000" w:themeColor="text1"/>
                <w:kern w:val="0"/>
                <w:sz w:val="21"/>
                <w:szCs w:val="21"/>
                <w14:textFill>
                  <w14:solidFill>
                    <w14:schemeClr w14:val="tx1"/>
                  </w14:solidFill>
                </w14:textFill>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具备与皮肤科现有的皮肤病理显微镜（LICA）、单反相机（佳能）等至少9台设备联机实现单向通讯功能，自动抓取图片，按.JPG(.JPEG)或.PNG或.BMP标准格式存储。如联机产生费用由中标方支付。</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提供说明书及企业承诺函</w:t>
            </w:r>
          </w:p>
        </w:tc>
      </w:tr>
      <w:tr>
        <w:tblPrEx>
          <w:shd w:val="clear" w:color="auto" w:fill="FFFFFF" w:themeFill="background1"/>
          <w:tblCellMar>
            <w:top w:w="0" w:type="dxa"/>
            <w:left w:w="108" w:type="dxa"/>
            <w:bottom w:w="0" w:type="dxa"/>
            <w:right w:w="108" w:type="dxa"/>
          </w:tblCellMar>
        </w:tblPrEx>
        <w:trPr>
          <w:trHeight w:val="90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3.5</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手工实验数据管理</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提供皮肤科现有手工斑贴实验的格式化模板，登记实验结果的功能，并支持实现拍照与实验结果合并保存。</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提供说明书或软件功能界面截图</w:t>
            </w:r>
          </w:p>
        </w:tc>
      </w:tr>
      <w:tr>
        <w:tblPrEx>
          <w:shd w:val="clear" w:color="auto" w:fill="FFFFFF" w:themeFill="background1"/>
          <w:tblCellMar>
            <w:top w:w="0" w:type="dxa"/>
            <w:left w:w="108" w:type="dxa"/>
            <w:bottom w:w="0" w:type="dxa"/>
            <w:right w:w="108" w:type="dxa"/>
          </w:tblCellMar>
        </w:tblPrEx>
        <w:trPr>
          <w:trHeight w:val="86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3.6</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斑贴检查项目数量</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系统预制项目数量不少于100项，包含“对苯二胺”、“硫酸镍”等过敏原项目。</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提供说明书或软件功能界面截图</w:t>
            </w:r>
          </w:p>
        </w:tc>
      </w:tr>
      <w:tr>
        <w:tblPrEx>
          <w:shd w:val="clear" w:color="auto" w:fill="FFFFFF" w:themeFill="background1"/>
          <w:tblCellMar>
            <w:top w:w="0" w:type="dxa"/>
            <w:left w:w="108" w:type="dxa"/>
            <w:bottom w:w="0" w:type="dxa"/>
            <w:right w:w="108" w:type="dxa"/>
          </w:tblCellMar>
        </w:tblPrEx>
        <w:trPr>
          <w:trHeight w:val="90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3.7</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联机设备双向通讯要求</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向联机的设备提供病人信息、并从联机设备取回已采集的原始图片和编写的诊断结论。</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90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3.8</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联机设备单向通讯要求</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从联机设备取回已采集的原始图片和编写的诊断结论。图像格式包含.JPG(.JPEG)、.PNG、.BMP、.GIF标准格式的图像和.Dic非标准格式。</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90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3.9</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图片提取方式</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系统版皮肤影像设备支持从影像设备数据库解析自动提取；单机版皮肤影像设备支持从计算机指定位置自动提取或从目标位置手动导入。</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62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3.10</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数据上传方式</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自动和手动方式将就诊记录数据上传系统服务器。</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503"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4</w:t>
            </w:r>
          </w:p>
        </w:tc>
        <w:tc>
          <w:tcPr>
            <w:tcW w:w="9067"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报告功能</w:t>
            </w:r>
          </w:p>
        </w:tc>
      </w:tr>
      <w:tr>
        <w:tblPrEx>
          <w:shd w:val="clear" w:color="auto" w:fill="FFFFFF" w:themeFill="background1"/>
          <w:tblCellMar>
            <w:top w:w="0" w:type="dxa"/>
            <w:left w:w="108" w:type="dxa"/>
            <w:bottom w:w="0" w:type="dxa"/>
            <w:right w:w="108" w:type="dxa"/>
          </w:tblCellMar>
        </w:tblPrEx>
        <w:trPr>
          <w:trHeight w:val="778"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4.1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报告方式</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可抓取联机设备出具的报告；可通过本系统报告模板出具报告；支持补打报告等功能。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715"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color w:val="000000" w:themeColor="text1"/>
                <w:kern w:val="0"/>
                <w:sz w:val="21"/>
                <w:szCs w:val="21"/>
                <w14:textFill>
                  <w14:solidFill>
                    <w14:schemeClr w14:val="tx1"/>
                  </w14:solidFill>
                </w14:textFill>
              </w:rPr>
              <w:t>4.2</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报告格式</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highlight w:val="yellow"/>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highlight w:val="yellow"/>
              </w:rPr>
            </w:pPr>
            <w:r>
              <w:rPr>
                <w:rFonts w:hint="eastAsia" w:ascii="宋体" w:hAnsi="宋体" w:eastAsia="宋体" w:cs="宋体"/>
                <w:kern w:val="0"/>
                <w:sz w:val="21"/>
                <w:szCs w:val="21"/>
              </w:rPr>
              <w:t>皮肤影像检查项目出具图文报告；非影像检查出具文字报告，文字报告可多页打印。</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659"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4.3</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FF0000"/>
                <w:kern w:val="0"/>
                <w:sz w:val="21"/>
                <w:szCs w:val="21"/>
              </w:rPr>
            </w:pPr>
            <w:r>
              <w:rPr>
                <w:rFonts w:hint="eastAsia" w:ascii="宋体" w:hAnsi="宋体" w:eastAsia="宋体" w:cs="宋体"/>
                <w:kern w:val="0"/>
                <w:sz w:val="21"/>
                <w:szCs w:val="21"/>
              </w:rPr>
              <w:t>报告存储</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支持将报告以多种格式保存，同时可提取手工实验数据、报告检查结果/结论，并进行结构化保存。</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color w:val="000000" w:themeColor="text1"/>
                <w:kern w:val="0"/>
                <w:sz w:val="21"/>
                <w:szCs w:val="21"/>
                <w14:textFill>
                  <w14:solidFill>
                    <w14:schemeClr w14:val="tx1"/>
                  </w14:solidFill>
                </w14:textFill>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745"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color w:val="000000" w:themeColor="text1"/>
                <w:kern w:val="0"/>
                <w:sz w:val="21"/>
                <w:szCs w:val="21"/>
                <w14:textFill>
                  <w14:solidFill>
                    <w14:schemeClr w14:val="tx1"/>
                  </w14:solidFill>
                </w14:textFill>
              </w:rPr>
              <w:t>4.4</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报告模板</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val="0"/>
              <w:snapToGrid w:val="0"/>
              <w:spacing w:line="320" w:lineRule="exact"/>
              <w:rPr>
                <w:rFonts w:hint="eastAsia" w:ascii="宋体" w:hAnsi="宋体" w:eastAsia="宋体" w:cs="宋体"/>
                <w:kern w:val="0"/>
                <w:sz w:val="21"/>
                <w:szCs w:val="21"/>
              </w:rPr>
            </w:pPr>
            <w:r>
              <w:rPr>
                <w:rFonts w:hint="eastAsia" w:ascii="宋体" w:hAnsi="宋体" w:eastAsia="宋体" w:cs="宋体"/>
                <w:kern w:val="0"/>
                <w:sz w:val="21"/>
                <w:szCs w:val="21"/>
              </w:rPr>
              <w:t>使用本系统报告模块时，可根据影像检查类型、检查类别独立设置报告标题、显示内容、字段名称等。</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sz w:val="21"/>
                <w:szCs w:val="21"/>
              </w:rPr>
            </w:pPr>
            <w:r>
              <w:rPr>
                <w:rFonts w:hint="eastAsia" w:ascii="宋体" w:hAnsi="宋体" w:eastAsia="宋体" w:cs="宋体"/>
                <w:color w:val="000000" w:themeColor="text1"/>
                <w:kern w:val="0"/>
                <w:sz w:val="21"/>
                <w:szCs w:val="21"/>
                <w14:textFill>
                  <w14:solidFill>
                    <w14:schemeClr w14:val="tx1"/>
                  </w14:solidFill>
                </w14:textFill>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715"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4.5</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报告图片加/卸载方式</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color w:val="000000" w:themeColor="text1"/>
                <w:kern w:val="0"/>
                <w:sz w:val="21"/>
                <w:szCs w:val="21"/>
                <w14:textFill>
                  <w14:solidFill>
                    <w14:schemeClr w14:val="tx1"/>
                  </w14:solidFill>
                </w14:textFill>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≥2种。双击和拖拽等。</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sz w:val="21"/>
                <w:szCs w:val="21"/>
              </w:rPr>
            </w:pPr>
            <w:r>
              <w:rPr>
                <w:rFonts w:hint="eastAsia" w:ascii="宋体" w:hAnsi="宋体" w:eastAsia="宋体" w:cs="宋体"/>
                <w:kern w:val="0"/>
                <w:sz w:val="21"/>
                <w:szCs w:val="21"/>
              </w:rPr>
              <w:t>提供说明书或软件功能界面截图</w:t>
            </w:r>
          </w:p>
        </w:tc>
      </w:tr>
      <w:tr>
        <w:tblPrEx>
          <w:shd w:val="clear" w:color="auto" w:fill="FFFFFF" w:themeFill="background1"/>
          <w:tblCellMar>
            <w:top w:w="0" w:type="dxa"/>
            <w:left w:w="108" w:type="dxa"/>
            <w:bottom w:w="0" w:type="dxa"/>
            <w:right w:w="108" w:type="dxa"/>
          </w:tblCellMar>
        </w:tblPrEx>
        <w:trPr>
          <w:trHeight w:val="790"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4.6</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报告共享</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具备通过Web等方式在内网共享报告的功能，共享报告提供水印标识功能，禁止打印、另存功能。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r>
      <w:tr>
        <w:tblPrEx>
          <w:shd w:val="clear" w:color="auto" w:fill="FFFFFF" w:themeFill="background1"/>
          <w:tblCellMar>
            <w:top w:w="0" w:type="dxa"/>
            <w:left w:w="108" w:type="dxa"/>
            <w:bottom w:w="0" w:type="dxa"/>
            <w:right w:w="108" w:type="dxa"/>
          </w:tblCellMar>
        </w:tblPrEx>
        <w:trPr>
          <w:trHeight w:val="51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5</w:t>
            </w:r>
          </w:p>
        </w:tc>
        <w:tc>
          <w:tcPr>
            <w:tcW w:w="9067"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数据统计与检索功能</w:t>
            </w:r>
          </w:p>
        </w:tc>
      </w:tr>
      <w:tr>
        <w:tblPrEx>
          <w:shd w:val="clear" w:color="auto" w:fill="FFFFFF" w:themeFill="background1"/>
          <w:tblCellMar>
            <w:top w:w="0" w:type="dxa"/>
            <w:left w:w="108" w:type="dxa"/>
            <w:bottom w:w="0" w:type="dxa"/>
            <w:right w:w="108" w:type="dxa"/>
          </w:tblCellMar>
        </w:tblPrEx>
        <w:trPr>
          <w:trHeight w:val="648"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5.1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数据管理与统计检索</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具备对系统内数据的检索、查询、统计功能；具备对数据批量维护功能。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5.2</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数据导入</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可按部门、部位将皮肤科历史病人数据导入到系统；可将科室历史术语模板导入到系统用于报告时快速使用。</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5.3</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数据导出</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可按部门、诊断结论等批量导出患者数据；可导出检查数据。</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5.4</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医生工作量统计</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具备按申请医生、检查医生、报告医生进行统计，并自动生成统计报表，报表可导出Excel格式等。</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5.5</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设备使用效率统计</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具备按系统接入的设备进行统计，并自动生成统计报表，报表可导出。</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5.6</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疾病种类统计</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具备按疾病名称、职业、性别、年龄、籍贯、民族等条件，对疾病种类进行统计，并自动生成统计报表并导出。</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501"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9067"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系统管理</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6.1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系统与维护</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系统具备对医生账户、科室部门、检查项目名称及组合、检查部位、疾病名称等进行预先配置与维护的功能。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6.2</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医生账户维护</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具备对医生账户新增、删除以及权限设置等功能。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6.3</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科室部门维护</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具备对科室部门新增、修改、删除等功能。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6.4</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项目名称及组合维护</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具备对斑贴检查项目和斑贴组合项目新增、修改、删除等功能。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6.5</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检查部位维护</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具备对患者部位目录进行新增、修改、删除的功能。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6.6</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疾病名称维护</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可根据科室要求对系统疾病名称进行新增、修改、删除的维护。</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51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9067"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系统集成</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7.1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系统集成</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支持与医院现有HIS等信息系统对接，实现门诊、住院的病人基本信息与检查申请单信息的数据同步。并配合后期免费与新GHIS对接。与医院HIS系统集成，在本系统终端通过扫码从HIS自动提取信息并向HIS回传检查报告的功能。</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企业承诺函</w:t>
            </w:r>
          </w:p>
        </w:tc>
      </w:tr>
      <w:tr>
        <w:tblPrEx>
          <w:shd w:val="clear" w:color="auto" w:fill="FFFFFF" w:themeFill="background1"/>
          <w:tblCellMar>
            <w:top w:w="0" w:type="dxa"/>
            <w:left w:w="108" w:type="dxa"/>
            <w:bottom w:w="0" w:type="dxa"/>
            <w:right w:w="108" w:type="dxa"/>
          </w:tblCellMar>
        </w:tblPrEx>
        <w:trPr>
          <w:trHeight w:val="53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9067"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皮肤科数据影像信息系统配套硬件</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8.1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服务器</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国产主流品牌机架式服务器,支持主流操作系统。</w:t>
            </w:r>
            <w:r>
              <w:rPr>
                <w:rFonts w:hint="eastAsia" w:ascii="宋体" w:hAnsi="宋体" w:eastAsia="宋体" w:cs="宋体"/>
                <w:kern w:val="0"/>
                <w:sz w:val="21"/>
                <w:szCs w:val="21"/>
                <w:lang w:val="zh-CN"/>
              </w:rPr>
              <w:t>插槽：双路；</w:t>
            </w:r>
            <w:r>
              <w:rPr>
                <w:rFonts w:hint="eastAsia" w:ascii="宋体" w:hAnsi="宋体" w:eastAsia="宋体" w:cs="宋体"/>
                <w:kern w:val="0"/>
                <w:sz w:val="21"/>
                <w:szCs w:val="21"/>
              </w:rPr>
              <w:t>CPU：≥2颗，每颗主频≥2.1GHz，每颗≥10核； 内存：≥128GB； 硬盘：</w:t>
            </w:r>
            <w:r>
              <w:rPr>
                <w:rFonts w:hint="eastAsia" w:ascii="宋体" w:hAnsi="宋体" w:eastAsia="宋体" w:cs="宋体"/>
                <w:kern w:val="0"/>
                <w:sz w:val="21"/>
                <w:szCs w:val="21"/>
                <w:lang w:val="zh-CN"/>
              </w:rPr>
              <w:t>高速SAS硬盘，</w:t>
            </w:r>
            <w:r>
              <w:rPr>
                <w:rFonts w:hint="eastAsia" w:ascii="宋体" w:hAnsi="宋体" w:eastAsia="宋体" w:cs="宋体"/>
                <w:kern w:val="0"/>
                <w:sz w:val="21"/>
                <w:szCs w:val="21"/>
              </w:rPr>
              <w:t>固态盘≥2块，每块≥480GB，做RAID1；机械硬盘≥5块，每块≥2TB，做RAID5。网口：≥2口10G/1G电口，≥2口10GE光口，带高级管理功能的管理网口。电源：满配冗余电源。</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企业承诺函</w:t>
            </w:r>
          </w:p>
        </w:tc>
      </w:tr>
      <w:tr>
        <w:tblPrEx>
          <w:shd w:val="clear" w:color="auto" w:fill="FFFFFF" w:themeFill="background1"/>
          <w:tblCellMar>
            <w:top w:w="0" w:type="dxa"/>
            <w:left w:w="108" w:type="dxa"/>
            <w:bottom w:w="0" w:type="dxa"/>
            <w:right w:w="108" w:type="dxa"/>
          </w:tblCellMar>
        </w:tblPrEx>
        <w:trPr>
          <w:trHeight w:val="724" w:hRule="atLeast"/>
        </w:trPr>
        <w:tc>
          <w:tcPr>
            <w:tcW w:w="9843"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其他要求</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数据管理要求1</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须交付数据库管理员用户密码至信息科。</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数据管理要求2</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须交付数据备份机制、数据重建机制至信息科进行审核。</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数据管理要求3</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须根据院方要求配合将数据库纳入院方容灾平台、离线备份平台、数据库监控平台、数据资源体系平台。</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数据管理要求4</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系统上线后，须交付相关相关数据库表字段的说明性文件至信息科，要求内容必须全覆盖系统界面上所涉及各类数据项，并随系统升级及时更新交付。</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数据管理要求5</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所有存有院方数据的存储介质不予返还。</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数据管理要求6</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数据库运维人员需在信息科报备，签署相关保密协议，并纳入信息科数管统一管理。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数据管理要求7</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须承诺质保期内，根据院方要求提供相关国产化适配服务，无需另行收费。</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验收办法</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按照院方卫生信息化项目验收管理办法组织验收。</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企业承诺</w:t>
            </w:r>
          </w:p>
        </w:tc>
      </w:tr>
      <w:tr>
        <w:tblPrEx>
          <w:shd w:val="clear" w:color="auto" w:fill="FFFFFF" w:themeFill="background1"/>
          <w:tblCellMar>
            <w:top w:w="0" w:type="dxa"/>
            <w:left w:w="108" w:type="dxa"/>
            <w:bottom w:w="0" w:type="dxa"/>
            <w:right w:w="108" w:type="dxa"/>
          </w:tblCellMar>
        </w:tblPrEx>
        <w:trPr>
          <w:trHeight w:val="483" w:hRule="atLeast"/>
        </w:trPr>
        <w:tc>
          <w:tcPr>
            <w:tcW w:w="9843"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综合实力</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业绩情况</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提供近三</w:t>
            </w:r>
            <w:r>
              <w:rPr>
                <w:rFonts w:hint="eastAsia" w:ascii="宋体" w:hAnsi="宋体" w:eastAsia="宋体" w:cs="宋体"/>
                <w:color w:val="000000"/>
                <w:kern w:val="0"/>
                <w:sz w:val="21"/>
                <w:szCs w:val="21"/>
              </w:rPr>
              <w:t>年内</w:t>
            </w:r>
            <w:r>
              <w:rPr>
                <w:rFonts w:hint="eastAsia" w:ascii="宋体" w:hAnsi="宋体" w:eastAsia="宋体" w:cs="宋体"/>
                <w:kern w:val="0"/>
                <w:sz w:val="21"/>
                <w:szCs w:val="21"/>
              </w:rPr>
              <w:t>不少于3家皮肤学科同类型项目合同，包含至少不限于合</w:t>
            </w:r>
            <w:r>
              <w:rPr>
                <w:rFonts w:hint="eastAsia" w:ascii="宋体" w:hAnsi="宋体" w:eastAsia="宋体" w:cs="宋体"/>
                <w:color w:val="000000"/>
                <w:kern w:val="0"/>
                <w:sz w:val="21"/>
                <w:szCs w:val="21"/>
              </w:rPr>
              <w:t>同首页、签字</w:t>
            </w:r>
            <w:r>
              <w:rPr>
                <w:rFonts w:hint="eastAsia" w:ascii="宋体" w:hAnsi="宋体" w:eastAsia="宋体" w:cs="宋体"/>
                <w:kern w:val="0"/>
                <w:sz w:val="21"/>
                <w:szCs w:val="21"/>
              </w:rPr>
              <w:t>盖章页、合同标的页。</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技术力量1</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投标供应商提供投标产品的软件著作权登记证书；要求提供的软件著作权登记证书必须是投标人或投标人的原厂服务商自主拥有，且著作权申请日期不能迟于本项目招标公告日期，提供的软件著作权名称可略有不同，但需具有相同功能，提供证书复印件加盖公章。</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highlight w:val="yellow"/>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color w:val="000000" w:themeColor="text1"/>
                <w:kern w:val="0"/>
                <w:sz w:val="21"/>
                <w:szCs w:val="21"/>
                <w14:textFill>
                  <w14:solidFill>
                    <w14:schemeClr w14:val="tx1"/>
                  </w14:solidFill>
                </w14:textFill>
              </w:rPr>
              <w:t>技术力量2</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项目经理1人，具备3年（含）以上相关项目管理经验。提供成员近一年内（报价截止日期前）6个月的社会保障金、或签约超过3个月的劳务合同及薪资银行流水等证明材料。</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p>
        </w:tc>
      </w:tr>
      <w:tr>
        <w:tblPrEx>
          <w:shd w:val="clear" w:color="auto" w:fill="FFFFFF" w:themeFill="background1"/>
          <w:tblCellMar>
            <w:top w:w="0" w:type="dxa"/>
            <w:left w:w="108" w:type="dxa"/>
            <w:bottom w:w="0" w:type="dxa"/>
            <w:right w:w="108" w:type="dxa"/>
          </w:tblCellMar>
        </w:tblPrEx>
        <w:trPr>
          <w:trHeight w:val="579" w:hRule="atLeast"/>
        </w:trPr>
        <w:tc>
          <w:tcPr>
            <w:tcW w:w="9843"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b/>
                <w:bCs/>
                <w:kern w:val="0"/>
                <w:sz w:val="21"/>
                <w:szCs w:val="21"/>
                <w:lang w:eastAsia="zh-CN"/>
              </w:rPr>
              <w:t>商务</w:t>
            </w:r>
            <w:r>
              <w:rPr>
                <w:rFonts w:hint="eastAsia" w:ascii="宋体" w:hAnsi="宋体" w:eastAsia="宋体" w:cs="宋体"/>
                <w:b/>
                <w:bCs/>
                <w:kern w:val="0"/>
                <w:sz w:val="21"/>
                <w:szCs w:val="21"/>
              </w:rPr>
              <w:t>要求</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交货时间、交货地点</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合同签订后6个月内交付验收，交付地点由需求方指定。</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付款及结算方式</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签订合同后，硬件设备到货安装完成且软件安装试运行后，支付合同总金额的30%，系统稳定运行且验收合格后支付合同总金额的65%，合同总金额的</w:t>
            </w:r>
            <w:r>
              <w:rPr>
                <w:rFonts w:hint="eastAsia" w:ascii="宋体" w:hAnsi="宋体" w:eastAsia="宋体" w:cs="宋体"/>
                <w:color w:val="000000"/>
                <w:kern w:val="0"/>
                <w:sz w:val="21"/>
                <w:szCs w:val="21"/>
              </w:rPr>
              <w:t>5%作为</w:t>
            </w:r>
            <w:r>
              <w:rPr>
                <w:rFonts w:hint="eastAsia" w:ascii="宋体" w:hAnsi="宋体" w:eastAsia="宋体" w:cs="宋体"/>
                <w:kern w:val="0"/>
                <w:sz w:val="21"/>
                <w:szCs w:val="21"/>
              </w:rPr>
              <w:t>质量保证金。</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质量保证金</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质保期满且无质量问题支付合同总金额的5%。</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产品包装和运输要求</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按照国家、行业相关标准规范，产品确保包装完好，运输确保不对产品造成损伤。</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售后服务1</w:t>
            </w:r>
          </w:p>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（质保）</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质保年限不低于3年，质保期内软件免费升级维护、硬件免费维护。质保期满后保修期不低于3年，保修期内维护费用另行协商。</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售后服务2</w:t>
            </w:r>
          </w:p>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（巡检）</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质保期内免费提供一年不少于4次的巡检服务并提供巡检报告。</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售后服务3</w:t>
            </w:r>
          </w:p>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（培训）</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质保期内每年免费提供不少于2次培训。</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售后服务4</w:t>
            </w:r>
            <w:r>
              <w:rPr>
                <w:rFonts w:hint="eastAsia" w:ascii="宋体" w:hAnsi="宋体" w:eastAsia="宋体" w:cs="宋体"/>
                <w:kern w:val="0"/>
                <w:sz w:val="21"/>
                <w:szCs w:val="21"/>
              </w:rPr>
              <w:br w:type="textWrapping"/>
            </w:r>
            <w:r>
              <w:rPr>
                <w:rFonts w:hint="eastAsia" w:ascii="宋体" w:hAnsi="宋体" w:eastAsia="宋体" w:cs="宋体"/>
                <w:kern w:val="0"/>
                <w:sz w:val="21"/>
                <w:szCs w:val="21"/>
              </w:rPr>
              <w:t>（响应时间）</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质保期内免费提供7×24小时热线电话支持服务，负责提供技术问题的解答和技术指导；出现紧急故障情况，公司在收到服务请求后30分钟内响应，京内2小时、京外8小时内到现场， 4小时内无法解决的硬件问题及时提供相应的备用设备。</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9</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保密要求</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遵守院方保密要求，提供保密承诺书。</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企业承诺</w:t>
            </w:r>
          </w:p>
        </w:tc>
      </w:tr>
      <w:tr>
        <w:tblPrEx>
          <w:shd w:val="clear" w:color="auto" w:fill="FFFFFF" w:themeFill="background1"/>
          <w:tblCellMar>
            <w:top w:w="0" w:type="dxa"/>
            <w:left w:w="108" w:type="dxa"/>
            <w:bottom w:w="0" w:type="dxa"/>
            <w:right w:w="108" w:type="dxa"/>
          </w:tblCellMar>
        </w:tblPrEx>
        <w:trPr>
          <w:trHeight w:val="1306"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10</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知识产权</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spacing w:line="320" w:lineRule="exact"/>
              <w:rPr>
                <w:rFonts w:hint="eastAsia" w:ascii="宋体" w:hAnsi="宋体" w:eastAsia="宋体" w:cs="宋体"/>
                <w:kern w:val="0"/>
                <w:sz w:val="21"/>
                <w:szCs w:val="21"/>
              </w:rPr>
            </w:pPr>
            <w:r>
              <w:rPr>
                <w:rFonts w:hint="eastAsia" w:ascii="宋体" w:hAnsi="宋体" w:eastAsia="宋体" w:cs="宋体"/>
                <w:iCs/>
                <w:kern w:val="0"/>
                <w:sz w:val="21"/>
                <w:szCs w:val="21"/>
              </w:rPr>
              <w:t>报价供应商应当保证采购单位在使用该物资或其任何一部分时，不受第三方侵权指控。同时，报价供应商不得向第三方泄露采购机构提供的技术文件等材料。</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企业承诺</w:t>
            </w:r>
          </w:p>
        </w:tc>
      </w:tr>
      <w:tr>
        <w:tblPrEx>
          <w:shd w:val="clear" w:color="auto" w:fill="FFFFFF" w:themeFill="background1"/>
          <w:tblCellMar>
            <w:top w:w="0" w:type="dxa"/>
            <w:left w:w="108" w:type="dxa"/>
            <w:bottom w:w="0" w:type="dxa"/>
            <w:right w:w="108" w:type="dxa"/>
          </w:tblCellMar>
        </w:tblPrEx>
        <w:trPr>
          <w:trHeight w:val="724" w:hRule="atLeast"/>
        </w:trPr>
        <w:tc>
          <w:tcPr>
            <w:tcW w:w="7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11</w:t>
            </w:r>
          </w:p>
        </w:tc>
        <w:tc>
          <w:tcPr>
            <w:tcW w:w="14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物资编目编码、打码贴签要求</w:t>
            </w:r>
          </w:p>
        </w:tc>
        <w:tc>
          <w:tcPr>
            <w:tcW w:w="71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w:t>
            </w:r>
          </w:p>
        </w:tc>
        <w:tc>
          <w:tcPr>
            <w:tcW w:w="46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kern w:val="0"/>
                <w:sz w:val="21"/>
                <w:szCs w:val="21"/>
              </w:rPr>
              <w:t>本项目对物资的编目编码、打码贴签要求，报价供应商应当予以明确响应，相关费用包含在报价中。</w:t>
            </w:r>
          </w:p>
        </w:tc>
        <w:tc>
          <w:tcPr>
            <w:tcW w:w="88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否</w:t>
            </w:r>
          </w:p>
        </w:tc>
        <w:tc>
          <w:tcPr>
            <w:tcW w:w="13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kinsoku/>
              <w:wordWrap/>
              <w:overflowPunct/>
              <w:topLinePunct w:val="0"/>
              <w:autoSpaceDE/>
              <w:autoSpaceDN/>
              <w:bidi w:val="0"/>
              <w:spacing w:line="320" w:lineRule="exact"/>
              <w:jc w:val="center"/>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kern w:val="0"/>
                <w:sz w:val="21"/>
                <w:szCs w:val="21"/>
              </w:rPr>
              <w:t>企业承诺</w:t>
            </w:r>
          </w:p>
        </w:tc>
      </w:tr>
      <w:tr>
        <w:tblPrEx>
          <w:shd w:val="clear" w:color="auto" w:fill="FFFFFF" w:themeFill="background1"/>
          <w:tblCellMar>
            <w:top w:w="0" w:type="dxa"/>
            <w:left w:w="108" w:type="dxa"/>
            <w:bottom w:w="0" w:type="dxa"/>
            <w:right w:w="108" w:type="dxa"/>
          </w:tblCellMar>
        </w:tblPrEx>
        <w:trPr>
          <w:trHeight w:val="1372" w:hRule="atLeast"/>
        </w:trPr>
        <w:tc>
          <w:tcPr>
            <w:tcW w:w="9843"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b/>
                <w:bCs/>
                <w:sz w:val="21"/>
                <w:szCs w:val="21"/>
              </w:rPr>
            </w:pPr>
            <w:r>
              <w:rPr>
                <w:rFonts w:hint="eastAsia" w:ascii="宋体" w:hAnsi="宋体" w:eastAsia="宋体" w:cs="宋体"/>
                <w:b/>
                <w:bCs/>
                <w:sz w:val="21"/>
                <w:szCs w:val="21"/>
              </w:rPr>
              <w:t>说明：1.加注“★”号的技术指标为关键指标，≥1项未达到招标文件要求，即做废标处理</w:t>
            </w:r>
          </w:p>
          <w:p>
            <w:pPr>
              <w:keepNext w:val="0"/>
              <w:keepLines w:val="0"/>
              <w:pageBreakBefore w:val="0"/>
              <w:kinsoku/>
              <w:wordWrap/>
              <w:overflowPunct/>
              <w:topLinePunct w:val="0"/>
              <w:autoSpaceDE/>
              <w:autoSpaceDN/>
              <w:bidi w:val="0"/>
              <w:adjustRightInd/>
              <w:snapToGrid/>
              <w:spacing w:line="300" w:lineRule="exact"/>
              <w:ind w:firstLine="632" w:firstLineChars="300"/>
              <w:rPr>
                <w:rFonts w:hint="eastAsia" w:ascii="宋体" w:hAnsi="宋体" w:eastAsia="宋体" w:cs="宋体"/>
                <w:b/>
                <w:bCs/>
                <w:sz w:val="21"/>
                <w:szCs w:val="21"/>
              </w:rPr>
            </w:pPr>
            <w:r>
              <w:rPr>
                <w:rFonts w:hint="eastAsia" w:ascii="宋体" w:hAnsi="宋体" w:eastAsia="宋体" w:cs="宋体"/>
                <w:b/>
                <w:bCs/>
                <w:sz w:val="21"/>
                <w:szCs w:val="21"/>
              </w:rPr>
              <w:t>2.加注“▲”号的技术指标为重要指标</w:t>
            </w:r>
          </w:p>
          <w:p>
            <w:pPr>
              <w:keepNext w:val="0"/>
              <w:keepLines w:val="0"/>
              <w:pageBreakBefore w:val="0"/>
              <w:widowControl/>
              <w:kinsoku/>
              <w:wordWrap/>
              <w:overflowPunct/>
              <w:topLinePunct w:val="0"/>
              <w:autoSpaceDE/>
              <w:autoSpaceDN/>
              <w:bidi w:val="0"/>
              <w:spacing w:line="320" w:lineRule="exact"/>
              <w:jc w:val="left"/>
              <w:rPr>
                <w:rFonts w:hint="eastAsia" w:ascii="宋体" w:hAnsi="宋体" w:eastAsia="宋体" w:cs="宋体"/>
                <w:kern w:val="0"/>
                <w:sz w:val="21"/>
                <w:szCs w:val="21"/>
              </w:rPr>
            </w:pPr>
            <w:r>
              <w:rPr>
                <w:rFonts w:hint="eastAsia" w:ascii="宋体" w:hAnsi="宋体" w:eastAsia="宋体" w:cs="宋体"/>
                <w:b/>
                <w:bCs/>
                <w:sz w:val="21"/>
                <w:szCs w:val="21"/>
              </w:rPr>
              <w:t xml:space="preserve">      3.加注“★”、“▲”号的技术指标均需投标企业提供证明材料</w:t>
            </w:r>
            <w:r>
              <w:rPr>
                <w:rFonts w:hint="eastAsia" w:ascii="宋体" w:hAnsi="宋体" w:eastAsia="宋体" w:cs="宋体"/>
                <w:b/>
                <w:bCs/>
                <w:kern w:val="0"/>
                <w:sz w:val="21"/>
                <w:szCs w:val="21"/>
                <w:lang w:bidi="ar"/>
              </w:rPr>
              <w:t>（证明材料为“</w:t>
            </w:r>
            <w:r>
              <w:rPr>
                <w:rFonts w:hint="eastAsia" w:ascii="宋体" w:hAnsi="宋体" w:eastAsia="宋体" w:cs="宋体"/>
                <w:b/>
                <w:bCs/>
                <w:kern w:val="0"/>
                <w:sz w:val="21"/>
                <w:szCs w:val="21"/>
                <w:lang w:eastAsia="zh-CN" w:bidi="ar"/>
              </w:rPr>
              <w:t>企业</w:t>
            </w:r>
            <w:r>
              <w:rPr>
                <w:rFonts w:hint="eastAsia" w:ascii="宋体" w:hAnsi="宋体" w:eastAsia="宋体" w:cs="宋体"/>
                <w:b/>
                <w:bCs/>
                <w:kern w:val="0"/>
                <w:sz w:val="21"/>
                <w:szCs w:val="21"/>
                <w:lang w:bidi="ar"/>
              </w:rPr>
              <w:t>承诺”的，在技术商务指标参数响应偏离表</w:t>
            </w:r>
            <w:r>
              <w:rPr>
                <w:rFonts w:hint="eastAsia" w:ascii="宋体" w:hAnsi="宋体" w:eastAsia="宋体" w:cs="宋体"/>
                <w:b/>
                <w:bCs/>
                <w:color w:val="000000"/>
                <w:sz w:val="21"/>
                <w:szCs w:val="21"/>
              </w:rPr>
              <w:t>中体现即可</w:t>
            </w:r>
            <w:r>
              <w:rPr>
                <w:rFonts w:hint="eastAsia" w:ascii="宋体" w:hAnsi="宋体" w:eastAsia="宋体" w:cs="宋体"/>
                <w:b/>
                <w:bCs/>
                <w:kern w:val="0"/>
                <w:sz w:val="21"/>
                <w:szCs w:val="21"/>
                <w:lang w:bidi="ar"/>
              </w:rPr>
              <w:t>）</w:t>
            </w:r>
          </w:p>
        </w:tc>
      </w:tr>
    </w:tbl>
    <w:p/>
    <w:sectPr>
      <w:pgSz w:w="11906" w:h="16838"/>
      <w:pgMar w:top="1134"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wOWRjZTg3ZjBlNWMzYzE4YjA1Yzg1MzdmOWRhYTcifQ=="/>
  </w:docVars>
  <w:rsids>
    <w:rsidRoot w:val="00000000"/>
    <w:rsid w:val="05875CD9"/>
    <w:rsid w:val="3AF1243C"/>
    <w:rsid w:val="41FD572E"/>
    <w:rsid w:val="7CA06087"/>
    <w:rsid w:val="7D0B4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Body Text Indent"/>
    <w:basedOn w:val="1"/>
    <w:qFormat/>
    <w:uiPriority w:val="0"/>
    <w:pPr>
      <w:spacing w:after="120"/>
      <w:ind w:left="420" w:leftChars="200"/>
    </w:pPr>
  </w:style>
  <w:style w:type="paragraph" w:styleId="4">
    <w:name w:val="Body Text First Indent 2"/>
    <w:basedOn w:val="3"/>
    <w:semiHidden/>
    <w:unhideWhenUsed/>
    <w:qFormat/>
    <w:uiPriority w:val="99"/>
    <w:pPr>
      <w:ind w:firstLine="420" w:firstLineChars="200"/>
    </w:pPr>
  </w:style>
  <w:style w:type="paragraph" w:customStyle="1" w:styleId="7">
    <w:name w:val="Table Text"/>
    <w:basedOn w:val="1"/>
    <w:semiHidden/>
    <w:qFormat/>
    <w:uiPriority w:val="0"/>
    <w:rPr>
      <w:rFonts w:ascii="宋体" w:hAnsi="宋体" w:cs="宋体"/>
      <w:sz w:val="24"/>
      <w:szCs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2025-05-12T11:58:00Z</dcterms:created>
  <dc:creator>DOCTOR</dc:creator>
  <cp:lastModifiedBy>DOCTOR</cp:lastModifiedBy>
  <dcterms:modified xsi:type="dcterms:W3CDTF">2025-07-22T10:13:26Z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8923F17829784343B44F927D21602F24_12</vt:lpwstr>
  </property>
</Properties>
</file>