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59" w:type="dxa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17"/>
        <w:gridCol w:w="898"/>
        <w:gridCol w:w="1090"/>
        <w:gridCol w:w="1162"/>
        <w:gridCol w:w="2775"/>
        <w:gridCol w:w="1323"/>
        <w:gridCol w:w="1594"/>
      </w:tblGrid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1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样本管理信息系统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项目编号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2025-JQ06-F3006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预算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25万元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性质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jc w:val="both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Ansi="宋体" w:cs="黑体"/>
                <w:color w:val="auto"/>
                <w:sz w:val="20"/>
                <w:szCs w:val="20"/>
                <w:lang w:bidi="ar"/>
              </w:rPr>
              <w:t>基于临床微生物实验室国标与行标要求，用于检验科微生物标本从接收到报告全流程智能化管理，数据查询和统计分析，可与院内现有系统对接，能够实现微生物临床和科研样本的智能化管理。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智能样本登记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，智能拒收及让步接收规则，</w:t>
            </w:r>
            <w:r>
              <w:rPr>
                <w:rFonts w:hint="eastAsia" w:ascii="黑体" w:hAnsi="宋体" w:eastAsia="黑体" w:cs="黑体"/>
                <w:sz w:val="20"/>
              </w:rPr>
              <w:t>留档样本不合规记录。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智能匹配分离培养平皿种类，打印培养子条码、默认培养阴性结果。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可实现药敏加做、追加药敏计价收费等功能。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可进行血培养污染菌推断、报告结果自检、报告单药敏分级显示、结果互认。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可进行系统权限设置，用户权限设置，申请项与平皿、样本类型、阴性默认结果关系设置；样本号段设置、药敏折点、抗生素分组、分类、分级管理设置等。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</w:t>
            </w:r>
            <w:r>
              <w:rPr>
                <w:rFonts w:ascii="黑体" w:hAnsi="宋体" w:eastAsia="黑体" w:cs="黑体"/>
                <w:sz w:val="20"/>
              </w:rPr>
              <w:t>WHONET</w:t>
            </w:r>
            <w:r>
              <w:rPr>
                <w:rFonts w:hint="eastAsia" w:ascii="黑体" w:hAnsi="宋体" w:eastAsia="黑体" w:cs="黑体"/>
                <w:sz w:val="20"/>
              </w:rPr>
              <w:t>数据</w:t>
            </w:r>
            <w:r>
              <w:rPr>
                <w:rFonts w:ascii="黑体" w:hAnsi="宋体" w:eastAsia="黑体" w:cs="黑体"/>
                <w:sz w:val="20"/>
              </w:rPr>
              <w:t>导出</w:t>
            </w:r>
            <w:r>
              <w:rPr>
                <w:rFonts w:hint="eastAsia" w:ascii="黑体" w:hAnsi="宋体" w:eastAsia="黑体" w:cs="黑体"/>
                <w:sz w:val="20"/>
              </w:rPr>
              <w:t>功能，使用</w:t>
            </w:r>
            <w:r>
              <w:rPr>
                <w:rFonts w:ascii="黑体" w:hAnsi="宋体" w:eastAsia="黑体" w:cs="黑体"/>
                <w:sz w:val="20"/>
              </w:rPr>
              <w:t>WHONET小工具，各维度</w:t>
            </w:r>
            <w:r>
              <w:rPr>
                <w:rFonts w:hint="eastAsia" w:ascii="黑体" w:hAnsi="宋体" w:eastAsia="黑体" w:cs="黑体"/>
                <w:sz w:val="20"/>
              </w:rPr>
              <w:t>匹配</w:t>
            </w:r>
            <w:r>
              <w:rPr>
                <w:rFonts w:ascii="黑体" w:hAnsi="宋体" w:eastAsia="黑体" w:cs="黑体"/>
                <w:sz w:val="20"/>
              </w:rPr>
              <w:t>whonet</w:t>
            </w:r>
            <w:r>
              <w:rPr>
                <w:rFonts w:hint="eastAsia" w:ascii="黑体" w:hAnsi="宋体" w:eastAsia="黑体" w:cs="黑体"/>
                <w:sz w:val="20"/>
              </w:rPr>
              <w:t>编</w:t>
            </w:r>
            <w:r>
              <w:rPr>
                <w:rFonts w:ascii="黑体" w:hAnsi="宋体" w:eastAsia="黑体" w:cs="黑体"/>
                <w:sz w:val="20"/>
              </w:rPr>
              <w:t>码</w:t>
            </w:r>
            <w:r>
              <w:rPr>
                <w:rFonts w:hint="eastAsia" w:ascii="黑体" w:hAnsi="宋体" w:eastAsia="黑体" w:cs="黑体"/>
                <w:sz w:val="20"/>
              </w:rPr>
              <w:t>，可</w:t>
            </w:r>
            <w:r>
              <w:rPr>
                <w:rFonts w:ascii="黑体" w:hAnsi="宋体" w:eastAsia="黑体" w:cs="黑体"/>
                <w:sz w:val="20"/>
              </w:rPr>
              <w:t>在</w:t>
            </w:r>
            <w:r>
              <w:rPr>
                <w:rFonts w:hint="eastAsia" w:ascii="黑体" w:hAnsi="宋体" w:eastAsia="黑体" w:cs="黑体"/>
                <w:sz w:val="20"/>
              </w:rPr>
              <w:t>个人</w:t>
            </w:r>
            <w:r>
              <w:rPr>
                <w:rFonts w:ascii="黑体" w:hAnsi="宋体" w:eastAsia="黑体" w:cs="黑体"/>
                <w:sz w:val="20"/>
              </w:rPr>
              <w:t>电脑上</w:t>
            </w:r>
            <w:r>
              <w:rPr>
                <w:rFonts w:hint="eastAsia" w:ascii="黑体" w:hAnsi="宋体" w:eastAsia="黑体" w:cs="黑体"/>
                <w:sz w:val="20"/>
              </w:rPr>
              <w:t>运行</w:t>
            </w:r>
            <w:r>
              <w:rPr>
                <w:rFonts w:ascii="黑体" w:hAnsi="宋体" w:eastAsia="黑体" w:cs="黑体"/>
                <w:sz w:val="20"/>
              </w:rPr>
              <w:t>导出文件。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样本库管理系统：具备样本/菌株库管理功能，如出入库、传代记录信息等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信息查询：可快速检索样本库标本位置和关联的临床信息。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统计分析：可进行病源菌分布和耐药率的统计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可与医院HIS系统做接口，数据结果及备注等附加信息均可准确传输至HIS端。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配置名称1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（服务点位）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不低于15个工作站（软件终端）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配置名称2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（服务人员）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在京系统日常维护人员1人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交付数据库管理员用户密码需交付信息科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交付数据备份机制、数据重建机制需至信息科审核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按院方要求配合将数据库纳入院方容灾平台、离线备份平台、数据库监控平台、数据资源体系平台；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系统上线后，交付相关相关数据库表字段的说明性文件至信息科，要求内容必须全覆盖系统界面上所涉及各类数据项，并随系统升级及时更新交付；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所有存有院方数据的存储介质不予返还；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</w:rPr>
              <w:t>数据库运维人员需在信息科报备，签署相关保密协议，并纳入信息科数管统一管理；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按照投标文件、采购合同进行质量验收，验收前须提交第三方软件测评报告。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经济要求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eastAsia="zh-CN"/>
              </w:rPr>
              <w:t>（不接受负偏离）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合同签订后6个月内交付，交付地点由甲方指定。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2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黑体"/>
                <w:color w:val="auto"/>
                <w:sz w:val="20"/>
                <w:szCs w:val="20"/>
                <w:lang w:bidi="ar"/>
              </w:rPr>
              <w:t>软件安装完毕付款30%，验收完成后付款70%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履约保证金、质量保证金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黑体"/>
                <w:color w:val="auto"/>
                <w:sz w:val="20"/>
                <w:szCs w:val="20"/>
                <w:lang w:val="en-US" w:eastAsia="zh-CN" w:bidi="ar"/>
              </w:rPr>
              <w:t>合同签署前企业需缴纳3%履约保证金，履约完成无异议后自动转为质量保证金，并于质保期满后无质量问题无息退还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sz w:val="20"/>
              </w:rPr>
              <w:t>验收完成后开始起算质保期，质保期3年，全年故障停机时间不高于1%（按365日/年计算)。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原厂授权</w:t>
            </w: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或</w:t>
            </w: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sz w:val="20"/>
              </w:rPr>
              <w:t>质保期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内免费提供定期维护保养服务，免费升级和维护软件，免费提供使用培训。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提供不少于1人次、2天的工程师维修培训。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7*24小时电话响应，故障响应时间≤2小时、出现场时间≤4小时、故障解决时间≤24小时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bookmarkEnd w:id="0"/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说明：1.加注“★”的指标为关键指标，任意一项不满足要求即做废标处理；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2.加注“★”及“▲”标识的指标均需投标企业提供证明材料，证明材料为“企业承诺”的，在技术商务指标参数响应偏离表中的响应可视为承诺；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3.经济要求不接受负偏离。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803C3"/>
    <w:rsid w:val="438803C3"/>
    <w:rsid w:val="5106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2025-04-29T09:07:00Z</dcterms:created>
  <dc:creator>administrator</dc:creator>
  <cp:lastModifiedBy>administrator</cp:lastModifiedBy>
  <dcterms:modified xsi:type="dcterms:W3CDTF">2025-07-25T10:47:12Z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