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color w:val="auto"/>
          <w:szCs w:val="44"/>
          <w:highlight w:val="none"/>
          <w:lang w:val="zh-CN"/>
        </w:rPr>
      </w:pPr>
      <w:bookmarkStart w:id="0" w:name="_Toc112768491"/>
      <w:bookmarkStart w:id="1" w:name="_Toc132186973"/>
      <w:bookmarkStart w:id="2" w:name="_Toc21632"/>
      <w:bookmarkStart w:id="3" w:name="_Toc128154366"/>
      <w:bookmarkStart w:id="4" w:name="_Toc30564"/>
      <w:bookmarkStart w:id="5" w:name="_Toc32050"/>
      <w:bookmarkStart w:id="6" w:name="_Toc132191257"/>
      <w:bookmarkStart w:id="7" w:name="_Toc9692"/>
      <w:bookmarkStart w:id="8" w:name="_Toc28545"/>
      <w:bookmarkStart w:id="9" w:name="_Toc130888005"/>
      <w:bookmarkStart w:id="10" w:name="_Toc130661176"/>
      <w:bookmarkStart w:id="11" w:name="_Toc128470293"/>
      <w:bookmarkStart w:id="12" w:name="_Toc112317781"/>
      <w:bookmarkStart w:id="13" w:name="_Toc22553"/>
      <w:r>
        <w:rPr>
          <w:rFonts w:hint="eastAsia"/>
          <w:b w:val="0"/>
          <w:color w:val="auto"/>
          <w:szCs w:val="44"/>
          <w:highlight w:val="none"/>
          <w:lang w:val="zh-CN"/>
        </w:rPr>
        <w:t>第六章 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>
      <w:pPr>
        <w:pStyle w:val="4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bookmarkStart w:id="14" w:name="_Toc130887499"/>
      <w:bookmarkStart w:id="15" w:name="_Toc132190633"/>
      <w:bookmarkStart w:id="16" w:name="_Toc128150777"/>
      <w:bookmarkStart w:id="17" w:name="_Toc128150133"/>
      <w:bookmarkStart w:id="18" w:name="_Toc189"/>
      <w:bookmarkStart w:id="19" w:name="_Toc128397969"/>
      <w:bookmarkStart w:id="20" w:name="_Toc127820563"/>
      <w:bookmarkStart w:id="21" w:name="_Toc25703"/>
      <w:bookmarkStart w:id="22" w:name="_Toc22387"/>
      <w:bookmarkStart w:id="23" w:name="_Toc30945"/>
      <w:bookmarkStart w:id="24" w:name="_Toc128151026"/>
      <w:bookmarkStart w:id="25" w:name="_Toc5238"/>
      <w:bookmarkStart w:id="26" w:name="_Toc31595"/>
      <w:bookmarkStart w:id="27" w:name="_Toc21401"/>
      <w:bookmarkStart w:id="28" w:name="_Toc5320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一、商务要求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（商务条款均为实质性</w:t>
      </w: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  <w:lang w:eastAsia="zh-CN"/>
        </w:rPr>
        <w:t>响应</w:t>
      </w: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条款，不接受负偏离）</w:t>
      </w:r>
      <w:bookmarkEnd w:id="25"/>
      <w:bookmarkEnd w:id="26"/>
      <w:bookmarkEnd w:id="27"/>
      <w:bookmarkEnd w:id="28"/>
    </w:p>
    <w:tbl>
      <w:tblPr>
        <w:tblStyle w:val="6"/>
        <w:tblW w:w="942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1"/>
        <w:gridCol w:w="1807"/>
        <w:gridCol w:w="671"/>
        <w:gridCol w:w="4077"/>
        <w:gridCol w:w="981"/>
        <w:gridCol w:w="1213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合同签订后3个月内交付，交付地点由甲方指定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验收合格后满1年无质量问题支付剩余5%（不超过5%）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提供不少于1人次、1天的工程师维修培训。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维修响应时间≤6小时，维修到达现场时间≤8小时。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rPr>
          <w:rFonts w:hint="eastAsia"/>
        </w:rPr>
      </w:pPr>
    </w:p>
    <w:p>
      <w:pPr>
        <w:pStyle w:val="4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  <w:highlight w:val="none"/>
        </w:rPr>
        <w:sectPr>
          <w:headerReference r:id="rId5" w:type="first"/>
          <w:headerReference r:id="rId3" w:type="default"/>
          <w:headerReference r:id="rId4" w:type="even"/>
          <w:pgSz w:w="11906" w:h="16838"/>
          <w:pgMar w:top="1418" w:right="1134" w:bottom="1418" w:left="1418" w:header="851" w:footer="992" w:gutter="0"/>
          <w:cols w:space="720" w:num="1"/>
          <w:docGrid w:linePitch="312" w:charSpace="0"/>
        </w:sectPr>
      </w:pPr>
    </w:p>
    <w:p>
      <w:pPr>
        <w:pStyle w:val="4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bookmarkStart w:id="29" w:name="_Toc130887500"/>
      <w:bookmarkStart w:id="30" w:name="_Toc127820564"/>
      <w:bookmarkStart w:id="31" w:name="_Toc132190634"/>
      <w:bookmarkStart w:id="32" w:name="_Toc32285"/>
      <w:bookmarkStart w:id="33" w:name="_Toc128150134"/>
      <w:bookmarkStart w:id="34" w:name="_Toc128397970"/>
      <w:bookmarkStart w:id="35" w:name="_Toc13097"/>
      <w:bookmarkStart w:id="36" w:name="_Toc1694"/>
      <w:bookmarkStart w:id="37" w:name="_Toc128150778"/>
      <w:bookmarkStart w:id="38" w:name="_Toc128151027"/>
      <w:bookmarkStart w:id="39" w:name="_Toc20762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二、技术要求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tbl>
      <w:tblPr>
        <w:tblStyle w:val="6"/>
        <w:tblW w:w="944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3"/>
        <w:gridCol w:w="1808"/>
        <w:gridCol w:w="673"/>
        <w:gridCol w:w="4088"/>
        <w:gridCol w:w="983"/>
        <w:gridCol w:w="1215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量化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94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用于新生儿及儿童耳蜗及蜗后先天及迟发性听力病变的筛查。同一台仪器同时含DPOAE畸变产物耳声发射、TEOAE瞬态耳声发射及AABR快速听性脑干反应。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资质认证1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具备CFDA认证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资质认证2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FDA或CE认证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认证证书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DPOAE耳声发射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0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可用测试频率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1、1.5、2、3、3.5、4、5 和6 kHz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可用测试声级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L1/L2 = 60/50 dB SPL 和 65/55 dB SPL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DPOAE测试显示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DP‐Gram 听力图、DPOAE 水平、噪声级、测试进度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TEOAE瞬态诱发性耳声发射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刺激声强度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70-84dB SPL(45dB HL-60dB HL)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刺激频率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60±5Hz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频率范围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≥（1.5-4）kHz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TEOAE测试显示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可显示测试波形、响应水平、噪声水平，测试进度、测试结果显示为有明确响应或无明确响应。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AABR快速听性脑干反应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3.11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取样速率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≥10.2 KHz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3.12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刺激声强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≥35、40、45dB nHL的click声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（刺激声强至少包含35、40、45dB nHL这3种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click声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)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3.13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刺激频率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80Hz；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3.14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AABR测试显示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可显示测试图形、测试进度、EEG水平、ABR 检出率、皮肤阻抗。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阻抗测试范围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 到 99 kΩ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3.16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测试可接受阻抗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≤12 kΩ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3.17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主机探头重量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≤8g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3.18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主机数据结果存储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≥450次测试；数据存储：≥8年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3.19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用户自选语言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中文、英语等多种语言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测试结果显示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通过/参考指示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3.21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电池续航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可连续操作≥8小时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3.22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操作方式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触摸屏，可以戴手套使用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7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3.23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系统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无需接计算机可独立可使用，OAE和AABR可打印同一张报告单，内置校准系统，可自行检测探头准确性，免费开放端口，与医院HIS系统无缝连接，并承担相应联机费用。</w:t>
            </w:r>
          </w:p>
        </w:tc>
        <w:tc>
          <w:tcPr>
            <w:tcW w:w="98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主机1台、探头1副、耳塞1盒、中英文联机软件1套、便携包1个、OAE测试探头1套、ABR 测试器1个、ABR线缆1副、锂电池1块、说明书1本</w:t>
            </w:r>
          </w:p>
        </w:tc>
        <w:tc>
          <w:tcPr>
            <w:tcW w:w="98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按照投标文件、采购合同等，组织对医疗设备进行质量验收，出具验收报告。验收过程中对于核心参数存疑需检测的，可委托地方具有相应检测能力的机构提供技术支持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94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1.▲标识的指标负偏离≥2项，报价供应商技术分值为0分；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2.▲标识的指标和“无标识”指标负偏离≥6项，报价供应商技术分值为0分；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3.★指标为必须响应指标，任意一项不满足要求即做废标处理；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4.★和▲标识的指标均需投标企业按照备注要求提供证明材料、本表所要求的“技术白皮书”为：国产产品需加盖生产厂家及报价供应商公章；进口产品需加盖国内总代理及报价供应商公章。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5.本项目所要求的NMPA认证、CE或FDA认证是针对主机的认证，不能体现规格型号的需由厂家说明理由（进口产品可以由国内总代理说明理由）并加盖对应的公章，否则认证及说明按照无效响应处理。</w:t>
            </w:r>
          </w:p>
        </w:tc>
      </w:tr>
    </w:tbl>
    <w:p>
      <w:bookmarkStart w:id="40" w:name="_GoBack"/>
      <w:bookmarkEnd w:id="4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楷体_GB2312" w:hAnsi="楷体" w:eastAsia="楷体_GB2312" w:cs="楷体"/>
        <w:sz w:val="21"/>
        <w:szCs w:val="21"/>
      </w:rPr>
    </w:pPr>
    <w:r>
      <w:rPr>
        <w:rFonts w:hint="eastAsia" w:ascii="楷体_GB2312" w:hAnsi="楷体" w:eastAsia="楷体_GB2312" w:cs="楷体"/>
        <w:sz w:val="21"/>
        <w:szCs w:val="21"/>
      </w:rPr>
      <w:t>第六章 采购项目商务和技术要求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24978362" o:spid="_x0000_s2050" o:spt="136" type="#_x0000_t136" style="position:absolute;left:0pt;height:219.8pt;width:439.6pt;mso-position-horizontal:center;mso-position-horizontal-relative:margin;mso-position-vertical:center;mso-position-vertical-relative:margin;rotation:20643840f;z-index:-25162444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线下" style="font-family:宋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24978361" o:spid="_x0000_s2049" o:spt="136" type="#_x0000_t136" style="position:absolute;left:0pt;height:219.8pt;width:439.6pt;mso-position-horizontal:center;mso-position-horizontal-relative:margin;mso-position-vertical:center;mso-position-vertical-relative:margin;rotation:20643840f;z-index:-25162547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线下" style="font-family:宋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B02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2025-07-28T08:44:39Z</dcterms:created>
  <dc:creator>admin</dc:creator>
  <cp:lastModifiedBy>admin</cp:lastModifiedBy>
  <dcterms:modified xsi:type="dcterms:W3CDTF">2025-07-28T08:45:01Z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