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292"/>
        <w:gridCol w:w="704"/>
        <w:gridCol w:w="3104"/>
        <w:gridCol w:w="1108"/>
        <w:gridCol w:w="16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项目</w:t>
            </w: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eastAsia="zh-CN" w:bidi="ar"/>
              </w:rPr>
              <w:t>编号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2025-JQ06-W3193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北京市检查检验互认平台配套硬件采购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（万元）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需求名称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性质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需求具体内容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85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eastAsia="zh" w:bidi="ar"/>
              </w:rPr>
              <w:t>基本要求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eastAsia="zh" w:bidi="ar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eastAsia="zh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eastAsia="zh" w:bidi="ar"/>
              </w:rPr>
              <w:t>提供：</w:t>
            </w:r>
          </w:p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eastAsia="zh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eastAsia="zh" w:bidi="ar"/>
              </w:rPr>
              <w:t>1台Web应用防火墙</w:t>
            </w:r>
          </w:p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" w:bidi="ar"/>
              </w:rPr>
              <w:t>2台服务器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eastAsia="zh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ind w:left="0" w:leftChars="0"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2.1</w:t>
            </w:r>
          </w:p>
        </w:tc>
        <w:tc>
          <w:tcPr>
            <w:tcW w:w="12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eastAsia="zh-CN" w:bidi="ar"/>
              </w:rPr>
              <w:t>Web应用防火墙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10"/>
              </w:tabs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具备CSRF防护及自学习功能，能够有效防止CSRF攻击及通过自学习可减少CSRF配置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ind w:left="0" w:leftChars="0"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2.2</w:t>
            </w:r>
          </w:p>
        </w:tc>
        <w:tc>
          <w:tcPr>
            <w:tcW w:w="12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</w:pPr>
            <w:r>
              <w:rPr>
                <w:rFonts w:hint="eastAsia" w:ascii="宋体" w:hAnsi="宋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10"/>
              </w:tabs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具备自定义事件检测，支持自定义网络特征事件检测，可支持HTTP层、TCP层、IP层等协议自定义，有利于对用户业务系统遇到攻击进行检测与防护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ind w:left="0" w:leftChars="0"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2.3</w:t>
            </w:r>
          </w:p>
        </w:tc>
        <w:tc>
          <w:tcPr>
            <w:tcW w:w="12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10"/>
              </w:tabs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支持协议识别及解码能力，应支持：URL解码、XML解码、JSON解析、Base64解码、Unicode解码、十六进制转换、斜杠反转义、CHR解码、UTF-7解码，支持解析7层以上混合编解码能力，可实现对多层编码攻击的检测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ind w:left="0" w:leftChars="0"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2.4</w:t>
            </w:r>
          </w:p>
        </w:tc>
        <w:tc>
          <w:tcPr>
            <w:tcW w:w="12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10"/>
              </w:tabs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支持Web应用安全XSS攻击、Webshell、敏感信息泄露、弱口令、暴力破解等应用安全防护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ind w:left="0" w:leftChars="0"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2.5</w:t>
            </w:r>
          </w:p>
        </w:tc>
        <w:tc>
          <w:tcPr>
            <w:tcW w:w="12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10"/>
              </w:tabs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具备业务合规功能，可对业务进行恶意试探、恶意撞库、恶意登录等行为进行检测及拦截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ind w:left="0" w:leftChars="0"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2.6</w:t>
            </w:r>
          </w:p>
        </w:tc>
        <w:tc>
          <w:tcPr>
            <w:tcW w:w="12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eastAsia="zh-CN" w:bidi="ar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10"/>
              </w:tabs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支持未知威胁的检测和防护能力，具备0day攻击防御能力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ind w:left="0" w:leftChars="0"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2.7</w:t>
            </w:r>
          </w:p>
        </w:tc>
        <w:tc>
          <w:tcPr>
            <w:tcW w:w="12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10"/>
              </w:tabs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标准机架式设备，配置：千兆电口≥4个，千兆光口≥2个，万兆光口≥2个，扩展插槽≥2个，冗余电源；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光口上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配置相应的光模块。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ind w:left="0" w:leftChars="0"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2.8</w:t>
            </w:r>
          </w:p>
        </w:tc>
        <w:tc>
          <w:tcPr>
            <w:tcW w:w="12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10"/>
              </w:tabs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网络层吞吐率≥2Gbps。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ind w:left="0" w:leftChars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3.1</w:t>
            </w:r>
          </w:p>
        </w:tc>
        <w:tc>
          <w:tcPr>
            <w:tcW w:w="12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 w:bidi="ar"/>
              </w:rPr>
              <w:t>服务器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10"/>
              </w:tabs>
              <w:rPr>
                <w:rFonts w:hint="eastAsia" w:ascii="黑体" w:hAnsi="宋体" w:eastAsia="黑体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处理器：单颗主频：≥2.6GHz，CPU数量：≥2颗，单颗核心数：≥32核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ind w:left="0" w:leftChars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3.2</w:t>
            </w:r>
          </w:p>
        </w:tc>
        <w:tc>
          <w:tcPr>
            <w:tcW w:w="12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10"/>
              </w:tabs>
              <w:rPr>
                <w:rFonts w:hint="eastAsia" w:ascii="黑体" w:hAnsi="宋体" w:eastAsia="黑体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内存：≥8×32GB DDR4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ind w:left="0" w:leftChars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3.3</w:t>
            </w:r>
          </w:p>
        </w:tc>
        <w:tc>
          <w:tcPr>
            <w:tcW w:w="12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10"/>
              </w:tabs>
              <w:rPr>
                <w:rFonts w:hint="eastAsia" w:ascii="黑体" w:hAnsi="宋体" w:eastAsia="黑体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硬盘：系统盘≥2×480GB SSD，数据盘≥8×8TB SATA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ind w:left="0" w:leftChars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3.4</w:t>
            </w:r>
          </w:p>
        </w:tc>
        <w:tc>
          <w:tcPr>
            <w:tcW w:w="12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10"/>
              </w:tabs>
              <w:rPr>
                <w:rFonts w:hint="eastAsia" w:ascii="黑体" w:hAnsi="宋体" w:eastAsia="黑体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阵列卡：4GB cache，RAID卡可支持0,1,5,6,10,50,60,具备断电保护功能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ind w:left="0" w:leftChars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3.5</w:t>
            </w:r>
          </w:p>
        </w:tc>
        <w:tc>
          <w:tcPr>
            <w:tcW w:w="12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10"/>
              </w:tabs>
              <w:rPr>
                <w:rFonts w:hint="eastAsia" w:ascii="黑体" w:hAnsi="宋体" w:eastAsia="黑体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网卡：≥4*10GE口,≥4个10GE光纤模块,≥4个GE电口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ind w:left="0" w:leftChars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3.6</w:t>
            </w:r>
          </w:p>
        </w:tc>
        <w:tc>
          <w:tcPr>
            <w:tcW w:w="12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10"/>
              </w:tabs>
              <w:rPr>
                <w:rFonts w:hint="eastAsia" w:ascii="黑体" w:hAnsi="宋体" w:eastAsia="黑体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电源：≥900W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1+1冗余电源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ind w:left="0" w:leftChars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eastAsia="zh-CN" w:bidi="ar"/>
              </w:rPr>
              <w:t>综合实力1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10"/>
              </w:tabs>
              <w:rPr>
                <w:rFonts w:hint="eastAsia" w:ascii="黑体" w:hAnsi="宋体" w:eastAsia="黑体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平均故障时间间隔（MTBF）：≥20万小时认证，工作温度-5～55℃，需出具内容相关第三方检测报告，报告出具机构符合CMA/CNAS认可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ind w:left="0" w:leftChars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"/>
              </w:rPr>
              <w:t>5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eastAsia="zh-CN" w:bidi="ar"/>
              </w:rPr>
              <w:t>综合实力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</w:pP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10"/>
              </w:tabs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投标产品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具有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3C中国国家强制性产品认证证书、中国环境标志产品认证证书、中国节能产品认证证书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证书复印件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ind w:left="0" w:leftChars="0"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sz w:val="20"/>
                <w:lang w:eastAsia="zh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"/>
              </w:rPr>
              <w:t>6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eastAsia="zh-CN" w:bidi="ar"/>
              </w:rPr>
              <w:t>综合实力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10"/>
              </w:tabs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投标产品生产商具有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有效的认证范围与本项目相关的质量管理体系认证证书、环境管理体系的认证证书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职业健康管理体系认证证书加盖公章。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证书复印件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经济要求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 w:bidi="ar"/>
              </w:rPr>
              <w:t>（不接受负偏离）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交货时间、交货地点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合同签订后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个月内交付，交付地点由甲方指定。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2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付款及结算方式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物资到货且验收合格后支付合同金额的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95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%。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质量保证金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 w:bidi="ar"/>
              </w:rPr>
              <w:t>质保期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满后，支付合同金额的5%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产品包装和运输要求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（质保）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质保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年限不低于3年，全年故障停机时间不高于5‰（按365日/年计算)。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（质保）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（质保）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提供不少于3人次、3天的工程师维修培训。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售后服务4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（响应时间）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维修响应时间≤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1小时，维修到达现场时间≤4小时。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备品备件要求（零配件）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由供应商承诺项目使用寿命周期内保证零配件供应。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eastAsia="zh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物资编目编码、打码贴签要求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企业承诺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D34754"/>
    <w:rsid w:val="04770A4C"/>
    <w:rsid w:val="1D8E530B"/>
    <w:rsid w:val="40D34754"/>
    <w:rsid w:val="46B6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2025-02-21T02:26:00Z</dcterms:created>
  <dc:creator>administrator</dc:creator>
  <cp:lastModifiedBy>administrator</cp:lastModifiedBy>
  <dcterms:modified xsi:type="dcterms:W3CDTF">2025-08-01T07:17:27Z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