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6602"/>
      <w:bookmarkStart w:id="1" w:name="_Toc112768493"/>
      <w:bookmarkStart w:id="2" w:name="_Toc9824"/>
      <w:bookmarkStart w:id="3" w:name="_Toc13168"/>
      <w:bookmarkStart w:id="4" w:name="_Toc132186974"/>
      <w:bookmarkStart w:id="5" w:name="_Toc128154367"/>
      <w:bookmarkStart w:id="6" w:name="_Toc132191258"/>
      <w:bookmarkStart w:id="7" w:name="_Toc130888006"/>
      <w:bookmarkStart w:id="8" w:name="_Toc128470294"/>
      <w:bookmarkStart w:id="9" w:name="_Toc150421247"/>
      <w:bookmarkStart w:id="10" w:name="_Toc112681847"/>
      <w:bookmarkStart w:id="11" w:name="_Toc14060"/>
      <w:bookmarkStart w:id="12" w:name="_Toc22203"/>
      <w:bookmarkStart w:id="13" w:name="_Toc32238"/>
      <w:bookmarkStart w:id="14" w:name="_Toc22977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6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490"/>
        <w:gridCol w:w="622"/>
        <w:gridCol w:w="5158"/>
        <w:gridCol w:w="1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1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合同签订后1个月内交付，交付地点由甲方指定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2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签订合同付（预付）0%，物资到货（服务完成）验收后付95%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3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验收合格后满2年无质量问题支付剩余5%（不超过5%）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保修年限不低于2年，全年故障停机时间不高于5%（按365日/年计算)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5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6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提供不少于2人次、7天的工程师维修培训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京内维修响应时间≤1小时，维修到达现场时间≤4小时；京外维修响应时间≤24小时，维修到达现场时间≤72小时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由供应商承诺项目使用寿命周期内保证零配件供应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9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保密要求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宋体" w:hAnsi="宋体" w:cs="宋体"/>
                <w:kern w:val="0"/>
                <w:sz w:val="20"/>
                <w:lang w:val="en-US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10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</w:tbl>
    <w:p/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27583"/>
      <w:bookmarkStart w:id="17" w:name="_Toc12772"/>
      <w:bookmarkStart w:id="18" w:name="_Toc128397970"/>
      <w:bookmarkStart w:id="19" w:name="_Toc132190634"/>
      <w:bookmarkStart w:id="20" w:name="_Toc152057837"/>
      <w:bookmarkStart w:id="21" w:name="_Toc130887500"/>
      <w:bookmarkStart w:id="22" w:name="_Toc128150134"/>
      <w:bookmarkStart w:id="23" w:name="_Toc150418428"/>
      <w:bookmarkStart w:id="24" w:name="_Toc128150778"/>
      <w:bookmarkStart w:id="25" w:name="_Toc128151027"/>
      <w:bookmarkStart w:id="26" w:name="_Toc127820564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>
      <w:pPr>
        <w:overflowPunct w:val="0"/>
        <w:spacing w:before="289" w:beforeLines="50" w:after="289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408"/>
        <w:gridCol w:w="1016"/>
        <w:gridCol w:w="612"/>
        <w:gridCol w:w="88"/>
        <w:gridCol w:w="1139"/>
        <w:gridCol w:w="2216"/>
        <w:gridCol w:w="1259"/>
        <w:gridCol w:w="749"/>
        <w:gridCol w:w="12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8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2025-JQ06-W3194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一线高原高寒型救治器材（定制）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0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3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24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高原高寒型卫生员背囊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零部件标准化程度系数≥0.6；维修保养工作应适应后勤装备维修体制，按要求采用产品铭牌和布置方案。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研制工作应遵循GJB1856A、GJB368A、GJB 900有关要求。维修性设计遵循GJB/Z91，安全性设计遵循GJB/Z 99，人机工程设计遵循GJB2873，标志设计及安装符合GJB1626。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囊体外尺寸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320×170×490 mm±10mm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囊内容积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≥26L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 xml:space="preserve"> 重  量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≤3kg（不含急救器材与药品）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囊内保温空间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≥4.6L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7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囊内结构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内装药材模块化，具备恒温加热系统模块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8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囊内模块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至少包含止血、包扎、固定、气道管理、液体复苏、生命体征监测、检伤分类、保温≥8个模块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9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撕破强力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径向撕破强度≥350N，纬向撕破强度≥290N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10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平磨性能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平磨次数≥6000次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11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织物抗渗水性能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织物初始静水压≥20 kPa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12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背囊面料织物阻燃性能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垂直燃烧续燃时间≤8s、阴燃时间≤8s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13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背带面料之间的缝合强度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≥500N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14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扣件拉力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≥200N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15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提把拉力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≥500N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16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囊体使用温度范围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-41℃～46℃环境使用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17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囊体储存极限温度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低温极限≤-47℃，高温极限≥70℃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18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高原适应性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海拔4500米高原使用，急救器材无明显涨袋现象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19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背囊抗冲击能力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GJB150.18A跌落高度900mm，内装急救器材与药品无损坏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20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背囊抗振动能力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GJB150.16A振动试验环境下，内装物无损坏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21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背囊运输性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满足公路、铁路、水路、航空运输工具的限制要求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22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背囊装卸搬运适应性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符合GB/T 12330《体力搬运重量限值》的规定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23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囊体使用寿命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在按要求维护条件下≥3年，保温单元使用寿命≥2年，囊体贮存寿命≥5年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24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拉链负荷拉次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≥1000次，无掉牙、错牙、损坏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25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囊内器材品量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见附件1高原高寒型卫生员背囊品量表（每套），共12套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26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高原高寒型卫生员背囊12套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27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配套练习器材品量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见附件2练习器材品量表（每套），共140套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高原高寒型医用背囊（核心产品）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28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零部件标准化程度系数≥0.6；维修保养工作应适应后勤装备维修体制。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29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研制工作应遵循GJB1856A、GJB368A、GJB 900有关要求。维修性设计遵循GJB/Z91，安全性设计遵循GJB/Z 99，人机工程设计遵循GJB2873，标志设计及安装符合GJB1626。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30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囊体外尺寸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350×180×550 mm±10mm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31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囊内容积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≥34L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32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重 量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≤3.5kg（不含急救器材与药品）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33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囊内保温空间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≥4.6L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34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囊内结构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内装药材模块化，具备恒温加热系统模块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35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模块类别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至少包含止血、包扎、固定、气道管理、液体复苏、生命体征监测、紧急手术、检伤分类、保温≥9个模块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36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撕破强力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径向撕破强度≥350N，纬向撕破强度≥290N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37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平磨性能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平磨次数≥6000次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38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织物抗渗水性能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织物初始静水压≥20 kPa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39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背囊面料织物阻燃性能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垂直燃烧续燃时间≤8s、阴燃时间≤8s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40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背带面料之间的缝合强度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≥500N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41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扣件拉力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≥200N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42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提把拉力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≥500N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43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囊体使用温度范围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可在-41℃～46℃环境使用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44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囊体储存极限温度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低温极限≤-47℃，高温极限≥70℃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45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高原适应性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海拔4500米高原使用，急救器材无明显涨袋现象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46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背囊抗冲击能力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GJB150.18A跌落高度900mm，内装急救器材与药品无损坏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47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背囊抗振动能力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GJB 150.16A振动试验环境下，内装物无损坏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48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背囊运输性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满足公路、铁路、水路、航空运输工具的限制要求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49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背囊装卸搬运适应性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符合GB/T 12330《体力搬运重量限值》的规定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50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囊体使用寿命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在按要求维护条件下≥3年，保温单元使用寿命≥2年，囊体贮存寿命≥5年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51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拉链负荷拉次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≥1000次，无掉牙、错牙、损坏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52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囊内器材品量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见附件3高原高寒型医用背囊品量表（每套），共12套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53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高原高寒型医用背囊12套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54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配套练习器材品量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见附件2练习器材品量表（每套），共140套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恒温加热系统模块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55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模块尺寸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≤258×121×19.5 mm(含电池、控制板、金属壳体)；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56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电池容量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三元锂电池，容量≥24900mAh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57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重  量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模块≤550g(含电池、控制板、金属壳体)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58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工作温度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ascii="宋体" w:hAnsi="宋体" w:cs="宋体"/>
                <w:kern w:val="0"/>
                <w:sz w:val="20"/>
                <w:lang w:bidi="ar"/>
              </w:rPr>
              <w:t>-40℃~30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59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低温放电能力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保温单元锂电池-40℃低温放电能力不低于额定容量的75%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60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工作时长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ascii="宋体" w:hAnsi="宋体" w:cs="宋体"/>
                <w:kern w:val="0"/>
                <w:sz w:val="20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≥6</w:t>
            </w:r>
            <w:r>
              <w:rPr>
                <w:rFonts w:ascii="宋体" w:hAnsi="宋体" w:cs="宋体"/>
                <w:kern w:val="0"/>
                <w:sz w:val="20"/>
                <w:lang w:bidi="ar"/>
              </w:rPr>
              <w:t>h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61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工作要求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 xml:space="preserve">启动开关后，当保温包内温度高于 </w:t>
            </w:r>
            <w:r>
              <w:rPr>
                <w:rFonts w:ascii="宋体" w:hAnsi="宋体" w:cs="宋体"/>
                <w:kern w:val="0"/>
                <w:sz w:val="20"/>
                <w:lang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 xml:space="preserve">℃时，设备为待机状态;当保温包内温度低于 </w:t>
            </w:r>
            <w:r>
              <w:rPr>
                <w:rFonts w:ascii="宋体" w:hAnsi="宋体" w:cs="宋体"/>
                <w:kern w:val="0"/>
                <w:sz w:val="20"/>
                <w:lang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 xml:space="preserve">℃时，自动切换到加热状态 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62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保温功能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ascii="宋体" w:hAnsi="宋体" w:cs="宋体"/>
                <w:kern w:val="0"/>
                <w:sz w:val="20"/>
                <w:lang w:bidi="ar"/>
              </w:rPr>
              <w:t>-30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 xml:space="preserve">℃环境中放置 </w:t>
            </w:r>
            <w:r>
              <w:rPr>
                <w:rFonts w:ascii="宋体" w:hAnsi="宋体" w:cs="宋体"/>
                <w:kern w:val="0"/>
                <w:sz w:val="20"/>
                <w:lang w:bidi="ar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 xml:space="preserve">h，背囊内药液温度不低于 </w:t>
            </w:r>
            <w:r>
              <w:rPr>
                <w:rFonts w:ascii="宋体" w:hAnsi="宋体" w:cs="宋体"/>
                <w:kern w:val="0"/>
                <w:sz w:val="20"/>
                <w:lang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宋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提供第三方检测报告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63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安全防护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加热过温时自动停止加热；充电及放电保护功能，电池过压自动断电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64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设备配件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每套含主机（含锂离子电池及控制板）、加热片（含温度探头和加热排线）、充电器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65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恒温加热系统模块24套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伤员保温后送袋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66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尺 寸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展开≥1.1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×</w:t>
            </w:r>
            <w:r>
              <w:rPr>
                <w:rFonts w:hint="eastAsia" w:ascii="宋体" w:hAnsi="宋体" w:cs="宋体"/>
                <w:kern w:val="0"/>
                <w:sz w:val="20"/>
              </w:rPr>
              <w:t>4 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67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重 量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≤1.2kg（不含低温电池）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68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材 料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外层锦纶镀铝布，内层抗菌保温布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69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外层断裂强度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断裂强度经向≥700N，纬向≥500N；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70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抗菌功能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内层抗菌布白色念球菌抑菌率≥94%，大肠杆菌抑菌率≥99%，金黄色葡糖球菌抑菌率≥99%；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提供产品说明书/测试报告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71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保温功能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在-30℃环境下，保持躺姿处于I度紧张状态下（代谢率为95W/m2），暴露2h以上,平均皮肤温度不低于30℃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提供第三方检测报告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72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伤员保温后送袋24个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企业实力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73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综合实力1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产品生产企业为国家级企业技术中心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提供国家企业技术评价证明材料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74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综合实力2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投标企业承担国家或部队储备任务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提供承担过相关任务的证明材料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76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1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385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□公开招标    □邀请招标    </w:t>
            </w:r>
            <w:r>
              <w:rPr>
                <w:rFonts w:hint="eastAsia" w:ascii="MS Mincho" w:hAnsi="MS Mincho" w:eastAsia="MS Mincho" w:cs="MS Mincho"/>
                <w:kern w:val="0"/>
                <w:sz w:val="20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2</w:t>
            </w: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385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MS Mincho" w:hAnsi="MS Mincho" w:eastAsia="MS Mincho" w:cs="MS Mincho"/>
                <w:kern w:val="0"/>
                <w:sz w:val="20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3</w:t>
            </w:r>
          </w:p>
        </w:tc>
        <w:tc>
          <w:tcPr>
            <w:tcW w:w="7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385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▲标识的指标负偏离≥5项，投标企业技术分值为0分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▲标识的指标和“无标识”指标负偏离≥8项，投标企业技术分值为0分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115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numPr>
          <w:ilvl w:val="0"/>
          <w:numId w:val="0"/>
        </w:num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pStyle w:val="2"/>
        <w:rPr>
          <w:rFonts w:hint="eastAsia"/>
          <w:lang w:eastAsia="zh-CN"/>
        </w:rPr>
      </w:pP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7"/>
        <w:gridCol w:w="2096"/>
        <w:gridCol w:w="616"/>
        <w:gridCol w:w="601"/>
        <w:gridCol w:w="14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5000" w:type="pct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5000" w:type="pct"/>
            <w:gridSpan w:val="5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6"/>
                <w:szCs w:val="26"/>
              </w:rPr>
              <w:t>附件1. 高原高寒型卫生员背囊品量表（每套），共12套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品    名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规格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单位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数量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旋压式止血带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38mm×890mm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4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含记号笔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壳聚糖止血粉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6g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壳聚糖止血粉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15g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急救止血绷带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100mm×2500mm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压缩曲线纱布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110mm×3500mm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5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急救包扎包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200m×1400mm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急救包扎包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150m×1200mm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急救包扎包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100m×1200mm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烧伤急救包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360mm×560mm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3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眼罩(含包扎敷料)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敷料：100mm×100mm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水胶体敷料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150mm×150mm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卷式夹板(医用外固定夹板)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110mm×920mm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绷带卷(医用弹性绷带)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75mm×4500mm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自粘弹性绷带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100mm×4500mm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医用透气胶带(丝绸布胶带)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25mm×9100mm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软体担架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1900mm×800mm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一次性使用鼻咽通气道(含润滑剂 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I.D.7.0mm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一次性口咽通气道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4#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直型静脉留置针(一次性使用动静脉留置针)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14G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支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4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喉通气管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4#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润滑剂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2.7g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20ml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环甲膜穿刺针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一次性骨髓腔穿刺针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成人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一次性使用输液接头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医用胶贴(医用输液贴)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碘伏消毒棉片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210mm×160mm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可调节精密输液器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预充式冲管注射器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5ml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橡胶止血带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400mm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根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一次性使用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静脉留置针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18G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自粘性薄膜敷料(透明敷料)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60mm×90mm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医用方纱(医用纱布块)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75mm×75mm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一次性使用输液接头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碘伏消毒棉片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210mm×160mm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可调节精密输液器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5ml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5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电子血压计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腕式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脉搏血氧饱和度仪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指夹式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伤票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本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伤标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10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医用丁晴检查手套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7.5 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双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4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碘伏消毒棉片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210mm×160mm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10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可头戴式手电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LED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急救剪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190mm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急救保温毯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2500mm×2000mm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急救保温毯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加强型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记号笔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油性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支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砂轮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</w:tbl>
    <w:p>
      <w:r>
        <w:br w:type="page"/>
      </w: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7"/>
        <w:gridCol w:w="2096"/>
        <w:gridCol w:w="616"/>
        <w:gridCol w:w="601"/>
        <w:gridCol w:w="14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5000" w:type="pct"/>
            <w:gridSpan w:val="5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6"/>
                <w:szCs w:val="26"/>
              </w:rPr>
              <w:t>附件2.练习器材品量表（每套），共280套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品    名</w:t>
            </w:r>
          </w:p>
        </w:tc>
        <w:tc>
          <w:tcPr>
            <w:tcW w:w="109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规格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单位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数量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旋压式止血带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38mm×890mm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急救止血绷带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100mm×3500mm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急救包扎包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75mm×900mm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急救包扎包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150mm×1200mm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弹性绷带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75mm×4500mm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医用外固定夹板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92cm×11cm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喉通气管(含润滑剂 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4#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简易呼吸器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折叠式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手动负压吸引器(手动吸痰器)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</w:tbl>
    <w:p/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7"/>
        <w:gridCol w:w="2096"/>
        <w:gridCol w:w="616"/>
        <w:gridCol w:w="601"/>
        <w:gridCol w:w="14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5000" w:type="pct"/>
            <w:gridSpan w:val="5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6"/>
                <w:szCs w:val="26"/>
              </w:rPr>
              <w:t>附件3.高原高寒型医用背囊品量表（每套），共12套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品    名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规格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单位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数量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旋压式止血带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38mm×890mm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4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含记号笔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壳聚糖止血粉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≥6g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壳聚糖止血粉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≥15g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急救止血绷带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100mm×3500mm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压缩曲线纱布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110mm×3500mm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3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急救包扎包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200m×1400mm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急救包扎包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100m×1200mm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急救包扎包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150m×1200mm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烧伤急救包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360mm×560mm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眼罩(含包扎敷料)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敷料：100mm×100mm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水胶体敷料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150mm×150mm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卷式夹板(医用外固定夹板)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110mm×920mm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绷带卷(医用弹性绷带)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75mm×4500mm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自粘弹性绷带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100mm×4500mm 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3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医用透气胶带(丝绸布胶带)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25mm×9100mm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颈托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110mm×600mm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直型静脉留置针(一次性使用动静脉留置针)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14G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支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4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  <w:bdr w:val="single" w:color="000000" w:sz="4" w:space="0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638175</wp:posOffset>
                  </wp:positionH>
                  <wp:positionV relativeFrom="paragraph">
                    <wp:posOffset>0</wp:posOffset>
                  </wp:positionV>
                  <wp:extent cx="118745" cy="147955"/>
                  <wp:effectExtent l="0" t="0" r="0" b="0"/>
                  <wp:wrapNone/>
                  <wp:docPr id="6" name="textbox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extbox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一次性使用鼻咽通气道(含润滑剂)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I.D.7.0mm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喉通气管(含润滑剂)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4#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20ml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一次性喉镜(带叶片)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大号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气管插管导管(带导丝)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7.5#螺纹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根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一次性使用注射器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牙垫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一次性吸痰管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F12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根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简易呼吸器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折叠式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手动负压吸引器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(手动吸痰器)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胸腔闭式引流袋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1000ml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一次性使用引流管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F30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根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一次性骨髓腔穿刺针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成人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一次性使用输液接头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单通接头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医用胶贴(医用输液贴)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碘伏消毒棉片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210mm×160mm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可调节精密输液器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预充式冲管注射器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5ml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橡胶止血带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</w:rPr>
              <w:t>根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一次性使用静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脉留置针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18G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自粘性薄膜敷料(透明敷料)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60mm×90mm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医用方纱(医用纱布块)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75mm×75mm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一次性使用输液接头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碘伏消毒棉片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210mm×160mm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可调节精密输液器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5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5ml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5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一次性注射器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10ml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5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急救保温毯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2500mm×2000mm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急救保温毯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加强型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听诊器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双听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电子血压计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腕式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脉搏血氧饱和度仪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指夹式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医用手套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7.5#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双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5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手术刀柄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3#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手术刀片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10#,圆刀片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手术刀片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11#,尖刀片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持针钳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止血钳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直全齿160mm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止血钳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弯全齿160mm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组织镊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125mm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手术剪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直圆140mm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缝合针/线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0/3(灭菌)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5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一次性手术洞巾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500mm×600mm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碘伏消毒棉片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210mm×160mm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10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砂轮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bookmarkStart w:id="27" w:name="_GoBack"/>
            <w:bookmarkEnd w:id="27"/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伤票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份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30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伤标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份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20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可头戴式手电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LED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记号笔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油性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支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0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急救剪</w:t>
            </w:r>
          </w:p>
        </w:tc>
        <w:tc>
          <w:tcPr>
            <w:tcW w:w="109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190mm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5000" w:type="pct"/>
            <w:gridSpan w:val="5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5000" w:type="pct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>
      <w:pPr>
        <w:rPr>
          <w:rFonts w:hint="eastAsia" w:ascii="黑体" w:hAnsi="黑体" w:eastAsia="宋体" w:cs="黑体"/>
          <w:b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18" w:right="1134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2792711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98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楷体_GB2312" w:hAnsi="华文中宋" w:eastAsia="楷体_GB2312"/>
        <w:sz w:val="21"/>
        <w:szCs w:val="21"/>
      </w:rPr>
    </w:pPr>
    <w:r>
      <w:rPr>
        <w:rFonts w:hint="eastAsia" w:ascii="楷体_GB2312" w:hAnsi="华文中宋" w:eastAsia="楷体_GB2312"/>
        <w:sz w:val="21"/>
        <w:szCs w:val="21"/>
        <w:lang w:val="zh-CN"/>
      </w:rPr>
      <w:t>第六章 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4C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2025-08-06T00:32:53Z</dcterms:created>
  <dc:creator>admin</dc:creator>
  <cp:lastModifiedBy>admin</cp:lastModifiedBy>
  <dcterms:modified xsi:type="dcterms:W3CDTF">2025-08-06T00:35:39Z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