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按照采购单位提供的技术要求拟制。关键性技术指标参数前标记“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”符号，一般性指标参数前不作标记。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▲</w:t>
      </w:r>
      <w:r>
        <w:rPr>
          <w:rFonts w:hint="eastAsia"/>
          <w:sz w:val="28"/>
          <w:szCs w:val="28"/>
        </w:rPr>
        <w:t>”条款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需提供技术支持材料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【①技术要求中明确的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技术支持材料以具体项目为准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；②未明确的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技术支持材料可以从（不限于）以下支持材料选择：产品规格表、产品宣传彩</w:t>
      </w:r>
      <w:bookmarkStart w:id="0" w:name="_GoBack"/>
      <w:bookmarkEnd w:id="0"/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页、技术白皮书、制造商官方网站发布的产品信息、说明书等或检测机构出具的检测报告等技术材料支持的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（定制产品除外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；③定制产品的技术支持材料可提供响应承诺。】</w:t>
      </w:r>
    </w:p>
    <w:tbl>
      <w:tblPr>
        <w:tblStyle w:val="6"/>
        <w:tblW w:w="4994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1384"/>
        <w:gridCol w:w="818"/>
        <w:gridCol w:w="5151"/>
        <w:gridCol w:w="14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性质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基本要求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在约定的6个月内，按照规定的技术参数完成20个病案的教学视频动画录制工作。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视频分辨率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HD1920*1080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视频格式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包括但不限于：MOV/MP4/WEBM/AEP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编码方式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AVC(MPEG-4)/H.264/H.265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视频帧率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不低于25fps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视频码流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项目验收时提交高、低两种码流视频，高码流：动态码流最高码率≤10Mbps，最低码率≥5Mbps；低码流：动态码流最高码率≤1.5Mbps，最低码率≥700Kbps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色彩模式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(sRGB)数字媒体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色深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8位/通道（标准）或16位/通道（高动态范围需求）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动画文件格式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支持但不限于：Spine/Toon Boom Harmony/TVpaint等专业格式软件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时长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每个病案视频动画时长≥10分钟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视频效果1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抗锯齿处理，避免像素锯齿（低分辨场景）；色块闭合无溢出、渐变过渡自然；白平衡正确无偏色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提供既往制作医疗题材视频演示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视频效果2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视频播放过程稳定，无抖动跳跃；多种资源切换时镜头衔接无明显色差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提供既往制作医疗题材视频演示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视频效果3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声画同步，无交流声或其他杂音；动画人物五官端正，着装规范，场景逼真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提供既往制作医疗题材视频演示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视频效果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如有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手术/有创操作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等内容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能采用实物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实景拍摄，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拍摄视频与动画使用软件编辑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合成后输出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提供既往制作医疗题材视频演示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声音效果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声音清晰饱满圆润，无失真，无噪声杂音干扰，无音量忽大忽小现象。解说、现场、音乐等各声音无明显比例失调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提供既往制作医疗题材视频演示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字幕编码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全程配有中英文字幕，使用 UTF-8编码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字幕要求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时间线准确，字幕出现时间与视频声音一致；字幕要使用符合国家标准的规范字，不出现繁体字、异体字(国家 规定的除外)、错别字；字幕的字体、大小、色彩搭配、摆放位置、停留时间、出入屏方式配合适当，不能破坏原有画面；同期字幕每屏一行，每行不超过20字；标点符号只允许出现书名号、间隔号、连接号和特殊含义的引号。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人员配置1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针对本项目成立视频专项服务小组，配备长期从事医疗选题相关的导演，配备具有丰富医教动画视频制作经验的动画制作、剪辑，字幕人员，以上人员至少3人。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人员配置2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团队成员为传媒或影视类相关专业人员。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毕业证或相关专业证书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企业资格1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企业在需求单位所在地（北京）有常驻办事机构。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企业资格2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提供企业与医疗机构进行视频服务的制作合同或验收报告。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合同或验收报告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交货时间、交货地点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合同签订后6个月内交付，交付地点由甲方指定。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付款及结算方式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签订合同付（预付）30%，服务完成验收后付65%。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履约保证金、质量保证金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验收合格后满3个月无质量问题支付剩余5%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保密要求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auto" w:fill="FFFFFF"/>
              </w:rPr>
              <w:t>签署保密协议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2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auto" w:fill="FFFFFF"/>
              </w:rPr>
              <w:t>提供不少于12个月的产品售后服务（产品完成1年内不限次数根据我方要求对制作内容进行修改）</w:t>
            </w:r>
          </w:p>
        </w:tc>
        <w:tc>
          <w:tcPr>
            <w:tcW w:w="7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 xml:space="preserve">      3.加注“★”、“▲”号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承诺”的，在技术商务指标参数响应偏离表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）</w:t>
            </w:r>
          </w:p>
        </w:tc>
      </w:tr>
    </w:tbl>
    <w:p/>
    <w:sectPr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1C2A7D8E"/>
    <w:rsid w:val="22EC2A66"/>
    <w:rsid w:val="3AF1243C"/>
    <w:rsid w:val="41FD572E"/>
    <w:rsid w:val="7D0B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Body Text First Indent 2"/>
    <w:basedOn w:val="4"/>
    <w:semiHidden/>
    <w:unhideWhenUsed/>
    <w:qFormat/>
    <w:uiPriority w:val="99"/>
    <w:pPr>
      <w:ind w:firstLine="420" w:firstLineChars="200"/>
    </w:p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2025-05-12T11:58:00Z</dcterms:created>
  <dc:creator>DOCTOR</dc:creator>
  <cp:lastModifiedBy>DOCTOR</cp:lastModifiedBy>
  <dcterms:modified xsi:type="dcterms:W3CDTF">2025-07-11T00:27:46Z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8923F17829784343B44F927D21602F24_12</vt:lpwstr>
  </property>
</Properties>
</file>