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采购需求表（服务类）</w:t>
      </w:r>
    </w:p>
    <w:tbl>
      <w:tblPr>
        <w:tblStyle w:val="8"/>
        <w:tblpPr w:leftFromText="180" w:rightFromText="180" w:vertAnchor="text" w:horzAnchor="page" w:tblpX="1522" w:tblpY="554"/>
        <w:tblOverlap w:val="never"/>
        <w:tblW w:w="9060" w:type="dxa"/>
        <w:tblInd w:w="0" w:type="dxa"/>
        <w:tblLayout w:type="fixed"/>
        <w:tblCellMar>
          <w:top w:w="0" w:type="dxa"/>
          <w:left w:w="108" w:type="dxa"/>
          <w:bottom w:w="0" w:type="dxa"/>
          <w:right w:w="108" w:type="dxa"/>
        </w:tblCellMar>
      </w:tblPr>
      <w:tblGrid>
        <w:gridCol w:w="501"/>
        <w:gridCol w:w="669"/>
        <w:gridCol w:w="720"/>
        <w:gridCol w:w="795"/>
        <w:gridCol w:w="3210"/>
        <w:gridCol w:w="1208"/>
        <w:gridCol w:w="727"/>
        <w:gridCol w:w="1230"/>
      </w:tblGrid>
      <w:tr>
        <w:tblPrEx>
          <w:tblLayout w:type="fixed"/>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4725"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“野外条件下车载机动方舱一体化智能中医治疗平台”研发服务</w:t>
            </w:r>
          </w:p>
        </w:tc>
        <w:tc>
          <w:tcPr>
            <w:tcW w:w="120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49</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kern w:val="0"/>
                <w:sz w:val="20"/>
              </w:rPr>
            </w:pPr>
            <w:r>
              <w:rPr>
                <w:rFonts w:hint="eastAsia" w:ascii="宋体" w:hAnsi="宋体" w:cs="宋体"/>
                <w:b/>
                <w:bCs/>
                <w:color w:val="000000"/>
                <w:kern w:val="0"/>
                <w:sz w:val="22"/>
                <w:szCs w:val="22"/>
              </w:rPr>
              <w:t>需求名称</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参数性质</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需求具体内容</w:t>
            </w:r>
          </w:p>
        </w:tc>
        <w:tc>
          <w:tcPr>
            <w:tcW w:w="727" w:type="dxa"/>
            <w:tcBorders>
              <w:top w:val="single" w:color="000000" w:sz="4" w:space="0"/>
              <w:left w:val="single" w:color="000000" w:sz="4" w:space="0"/>
              <w:bottom w:val="nil"/>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是否量化</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sz w:val="20"/>
              </w:rPr>
            </w:pPr>
            <w:r>
              <w:rPr>
                <w:rFonts w:hint="eastAsia" w:ascii="宋体" w:hAnsi="宋体" w:cs="宋体"/>
                <w:b/>
                <w:bCs/>
                <w:color w:val="000000"/>
                <w:kern w:val="0"/>
                <w:sz w:val="22"/>
                <w:szCs w:val="22"/>
              </w:rPr>
              <w:t>备注（证明材料等其他要求）</w:t>
            </w:r>
          </w:p>
        </w:tc>
      </w:tr>
      <w:tr>
        <w:tblPrEx>
          <w:tblLayout w:type="fixed"/>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基本要求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中标单位根据技术性要求中的关于“野外条件下车载机动方舱一体化智能中医治疗平台”的功能和技术指标要求，为甲方提供方案设计、技术沟通、样机试制和样机优化等几项服务；</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“野外条件下车载机动方舱一体化智能中医治疗平台”的组成包括悬臂式多功能治疗模组和折叠式治疗床模组</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采用高强度轻铝合金制作悬臂式支架，具有良好的强度和刚度，同时减轻车载平台的重量。支架结构设计为 6 自由度机械臂，具备上下、左右、前后移动以及旋转等功能。</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悬臂末端设置标准化接口，可快速安装和更换各种中医理疗设备。</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支架具备过载保护和限位功能，防止因操作不当导致设备损坏或人员受伤。</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悬臂式支架以模块化方式安装在方舱内壁，悬臂式支架结构可在三维空间内移动，工作半径大于等于 600 毫米。</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控制方式包含：拖拽示教、示教器、API</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关节最大速度：J1-J2 180°/s、J3-J6 225°/s</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治疗设备的边角采用圆弧过渡设计，防止人员受伤；设备安装牢固，在车辆急刹车、急转弯等情况下不会发生松动或脱落。</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采用一体式的壁挂式模块设计，将电针治疗功能、红外烤灯功能和微波治疗功能集成在一体式壁挂式模块中。安装基座带有减震装置，可安装在方舱内的墙壁上，适用于长时间机动化运输环境。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11</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机械臂上集成有电针治疗功能，提供五路输出接口，可通过更换功能模块方式快速完成功能切换，切换时间小于等于 30 秒。</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12</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输出强度可多档位调节，输出波形包括连续波、断续波、疏密波等多种。</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13</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连续波频率为：1Hz~100Hz，分档可调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14</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断续波周期为：3 秒到 6 秒可调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疏密波变换周期为：3 秒到 6 秒可调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输出脉冲强度：0~12Vpp</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机械臂上集成红外理疗灯功能，可通过更换功能模块方式快速完成功能切换，切换时间小于等于 30 秒</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465"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采用飞利浦原装进口光源，红外线波峰值在 6~5μm</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19</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具备定时功能，定时范围 1~99 分钟连续可调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具备双重保护机制，包含内置温控保护、过热保护</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21</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具备防烫设计：治疗头配备防烫隔离柱和把手，避免直接接触烫伤</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22</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机械臂上集成微波治疗功能，可通过更换功能模块方式快速完成功能切换，切换时间小于等于 30 秒</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23</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微波频率 2450MHz±50MHz</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24</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输出功率：理疗模式 0~60W 连续可调，治疗模式 0~100W 连续可调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时间控制：理疗模式 0~30 分钟可调，治疗模式 0~99 秒可调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具备三重保护功能：误操作保护，过载保护，温控保护</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27</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控制方式：支持手动与脚踏双模式操作，脚踏位于车载治疗床边缘</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28</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集成有远程协助系统，可采集车载一体化中医救治平台模块的运行状态数据，联通后方指挥中心，并提供数字孪生软件，可在指挥中心的大屏以三维形式呈现系统实施状态</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29</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可借助 MR 设备与远程协助协同，实现车载一体化中医救治平台的远程维修、维护</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30</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提供治疗平台多角度实时画面监控，可通过网络传到远程指挥中心</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在技术方案中提供相应设计说明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31</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使用温度范围：-20~46 摄氏度</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32</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存储温度：-40~60℃</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33</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提供环境适应性检测报告</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34</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提供工程技术方案，由甲方组织专家评审通过后进行试制</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35</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技术指标</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具备特种任务医疗救援器材开发案例经验</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合同与开发案例说明</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36</w:t>
            </w:r>
          </w:p>
        </w:tc>
        <w:tc>
          <w:tcPr>
            <w:tcW w:w="138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交付内容</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提供野外条件下车载机动方舱一体化智能中医治疗平台样机一套，设计图样一套、检测报告一套、使用说明书一份、维修维护手册一份</w:t>
            </w:r>
          </w:p>
        </w:tc>
        <w:tc>
          <w:tcPr>
            <w:tcW w:w="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b/>
                <w:bCs/>
                <w:i/>
                <w:iCs/>
                <w:kern w:val="0"/>
                <w:sz w:val="22"/>
                <w:szCs w:val="22"/>
              </w:rPr>
            </w:pPr>
            <w:r>
              <w:rPr>
                <w:rFonts w:hint="eastAsia" w:ascii="宋体" w:hAnsi="宋体" w:cs="宋体"/>
                <w:b/>
                <w:bCs/>
                <w:color w:val="000000"/>
                <w:kern w:val="0"/>
                <w:sz w:val="22"/>
                <w:szCs w:val="22"/>
              </w:rPr>
              <w:t>经济要求</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黑体" w:eastAsia="黑体" w:cs="黑体"/>
                <w:sz w:val="22"/>
                <w:szCs w:val="22"/>
              </w:rPr>
            </w:pPr>
            <w:r>
              <w:rPr>
                <w:rFonts w:hint="eastAsia" w:ascii="宋体" w:hAnsi="宋体" w:cs="宋体"/>
                <w:sz w:val="22"/>
                <w:szCs w:val="22"/>
              </w:rPr>
              <w:t>1</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交货时间</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要求自签订合同之日起，研发交付周期不多于 60 个工作日；</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color w:val="000000"/>
                <w:kern w:val="0"/>
                <w:sz w:val="22"/>
                <w:szCs w:val="22"/>
              </w:rPr>
            </w:pPr>
            <w:r>
              <w:rPr>
                <w:rFonts w:hint="eastAsia" w:ascii="宋体" w:hAnsi="宋体" w:cs="宋体"/>
                <w:kern w:val="0"/>
                <w:sz w:val="22"/>
                <w:szCs w:val="22"/>
                <w:lang w:eastAsia="zh-CN" w:bidi="ar"/>
              </w:rPr>
              <w:t>付款方式</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cs="宋体"/>
                <w:color w:val="000000"/>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hint="eastAsia" w:ascii="宋体" w:hAnsi="宋体" w:cs="宋体"/>
                <w:color w:val="000000"/>
                <w:kern w:val="0"/>
                <w:sz w:val="22"/>
                <w:szCs w:val="22"/>
              </w:rPr>
            </w:pPr>
            <w:r>
              <w:rPr>
                <w:rFonts w:hint="eastAsia" w:ascii="宋体" w:hAnsi="宋体" w:cs="宋体"/>
                <w:kern w:val="0"/>
                <w:sz w:val="22"/>
                <w:szCs w:val="22"/>
                <w:lang w:eastAsia="zh-CN" w:bidi="ar"/>
              </w:rPr>
              <w:t>合同签订后付</w:t>
            </w:r>
            <w:r>
              <w:rPr>
                <w:rFonts w:hint="eastAsia" w:ascii="宋体" w:hAnsi="宋体" w:cs="宋体"/>
                <w:kern w:val="0"/>
                <w:sz w:val="22"/>
                <w:szCs w:val="22"/>
                <w:lang w:val="en-US" w:eastAsia="zh-CN" w:bidi="ar"/>
              </w:rPr>
              <w:t>30%首付款，完成验收后付65%，质保期满后，付5%。</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样机供应商免费负责对技术管理人员、操作人员、维修人员进行本套生产线设备的培训，培训应包括但不限于以下内容：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 设备控制系统和信息系统</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 设备操作</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设备故障排除及维护保养</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样机供应商必须提供纸质版或电子版培训资料。所有的资料必须是中文书写。</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黑体" w:eastAsia="黑体" w:cs="黑体"/>
                <w:sz w:val="22"/>
                <w:szCs w:val="22"/>
                <w:lang w:val="en-US" w:eastAsia="zh-CN"/>
              </w:rPr>
            </w:pPr>
            <w:r>
              <w:rPr>
                <w:rFonts w:hint="eastAsia" w:ascii="黑体" w:hAnsi="黑体" w:eastAsia="黑体" w:cs="黑体"/>
                <w:sz w:val="22"/>
                <w:szCs w:val="22"/>
                <w:lang w:val="en-US" w:eastAsia="zh-CN"/>
              </w:rPr>
              <w:t>5</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启动后，中标单位应按照服务方案中关于项目经理和团队其他人员的要求，组建项目团队，明确项目沟通机制，建立和甲方的通畅的沟通渠道，项目实施期间保证每周举行不低于一次项目会，确保双方充分沟通项目进展；</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黑体" w:eastAsia="黑体" w:cs="黑体"/>
                <w:sz w:val="22"/>
                <w:szCs w:val="22"/>
                <w:lang w:eastAsia="zh-CN"/>
              </w:rPr>
            </w:pPr>
            <w:r>
              <w:rPr>
                <w:rFonts w:hint="eastAsia" w:ascii="宋体" w:hAnsi="宋体" w:eastAsia="黑体" w:cs="宋体"/>
                <w:sz w:val="22"/>
                <w:szCs w:val="22"/>
                <w:lang w:val="en-US" w:eastAsia="zh-CN"/>
              </w:rPr>
              <w:t>6</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项目启动后，中标单位提供开发、供货、安装、调试、培训日程安排并按照日程表执行；</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sz w:val="22"/>
                <w:szCs w:val="22"/>
                <w:lang w:eastAsia="zh-CN"/>
              </w:rPr>
            </w:pPr>
            <w:r>
              <w:rPr>
                <w:rFonts w:hint="eastAsia" w:ascii="宋体" w:hAnsi="宋体" w:cs="宋体"/>
                <w:sz w:val="22"/>
                <w:szCs w:val="22"/>
                <w:lang w:val="en-US" w:eastAsia="zh-CN"/>
              </w:rPr>
              <w:t>7</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项目实施时的技术沟通环节，中标单位应提供不少于一套详细技术方案并充分向甲方陈述各方案的可行性和优缺点，便于甲方判断和选择更优的方案；</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黑体" w:hAnsi="黑体" w:eastAsia="黑体" w:cs="黑体"/>
                <w:sz w:val="22"/>
                <w:szCs w:val="22"/>
                <w:lang w:eastAsia="zh-CN"/>
              </w:rPr>
            </w:pPr>
            <w:r>
              <w:rPr>
                <w:rFonts w:hint="eastAsia" w:ascii="宋体" w:hAnsi="宋体" w:eastAsia="黑体" w:cs="宋体"/>
                <w:sz w:val="22"/>
                <w:szCs w:val="22"/>
                <w:lang w:val="en-US" w:eastAsia="zh-CN"/>
              </w:rPr>
              <w:t>8</w:t>
            </w:r>
          </w:p>
        </w:tc>
        <w:tc>
          <w:tcPr>
            <w:tcW w:w="1389"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黑体" w:eastAsia="黑体" w:cs="黑体"/>
                <w:kern w:val="0"/>
                <w:sz w:val="22"/>
                <w:szCs w:val="22"/>
              </w:rPr>
            </w:pPr>
            <w:r>
              <w:rPr>
                <w:rFonts w:hint="eastAsia" w:ascii="宋体" w:hAnsi="宋体" w:cs="宋体"/>
                <w:color w:val="000000"/>
                <w:kern w:val="0"/>
                <w:sz w:val="22"/>
                <w:szCs w:val="22"/>
              </w:rPr>
              <w:t>售后服务</w:t>
            </w:r>
          </w:p>
        </w:tc>
        <w:tc>
          <w:tcPr>
            <w:tcW w:w="79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kern w:val="0"/>
                <w:sz w:val="22"/>
                <w:szCs w:val="22"/>
              </w:rPr>
            </w:pPr>
            <w:r>
              <w:rPr>
                <w:rFonts w:hint="eastAsia" w:ascii="宋体" w:hAnsi="宋体" w:cs="宋体"/>
                <w:color w:val="000000"/>
                <w:kern w:val="0"/>
                <w:sz w:val="22"/>
                <w:szCs w:val="22"/>
              </w:rPr>
              <w:t>★</w:t>
            </w:r>
          </w:p>
        </w:tc>
        <w:tc>
          <w:tcPr>
            <w:tcW w:w="4418"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黑体" w:hAnsi="宋体" w:eastAsia="黑体" w:cs="黑体"/>
                <w:i/>
                <w:iCs/>
                <w:kern w:val="0"/>
                <w:sz w:val="22"/>
                <w:szCs w:val="22"/>
              </w:rPr>
            </w:pPr>
            <w:r>
              <w:rPr>
                <w:rFonts w:hint="eastAsia" w:ascii="宋体" w:hAnsi="宋体" w:cs="宋体"/>
                <w:color w:val="000000"/>
                <w:kern w:val="0"/>
                <w:sz w:val="22"/>
                <w:szCs w:val="22"/>
              </w:rPr>
              <w:t>若本项目中产品方面的配置或要求中出现不合理或不完整的问题以及出现设备故障时，中标单位有责任和义务提出补充修改方案和免费更换。</w:t>
            </w:r>
          </w:p>
        </w:tc>
        <w:tc>
          <w:tcPr>
            <w:tcW w:w="72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否</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黑体" w:hAnsi="宋体" w:eastAsia="黑体" w:cs="黑体"/>
                <w:i/>
                <w:iCs/>
                <w:kern w:val="0"/>
                <w:sz w:val="22"/>
                <w:szCs w:val="22"/>
              </w:rPr>
            </w:pPr>
            <w:r>
              <w:rPr>
                <w:rFonts w:hint="eastAsia" w:ascii="宋体" w:hAnsi="宋体" w:cs="宋体"/>
                <w:color w:val="000000"/>
                <w:kern w:val="0"/>
                <w:sz w:val="22"/>
                <w:szCs w:val="22"/>
              </w:rPr>
              <w:t>企业承诺</w:t>
            </w:r>
          </w:p>
        </w:tc>
      </w:tr>
    </w:tbl>
    <w:p>
      <w:pPr>
        <w:pStyle w:val="2"/>
        <w:rPr>
          <w:rFonts w:hint="default"/>
        </w:rPr>
      </w:pPr>
    </w:p>
    <w:p>
      <w:pPr>
        <w:overflowPunct w:val="0"/>
        <w:spacing w:afterLines="50" w:line="570" w:lineRule="exact"/>
        <w:ind w:left="750" w:leftChars="1" w:hanging="748" w:hangingChars="234"/>
        <w:jc w:val="left"/>
        <w:rPr>
          <w:rFonts w:ascii="黑体" w:hAnsi="黑体" w:eastAsia="黑体"/>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pPr>
        <w:pStyle w:val="2"/>
        <w:rPr>
          <w:rFonts w:hint="default"/>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11A90"/>
    <w:rsid w:val="00711A90"/>
    <w:rsid w:val="00977762"/>
    <w:rsid w:val="009B573C"/>
    <w:rsid w:val="02F2272C"/>
    <w:rsid w:val="1FFF8488"/>
    <w:rsid w:val="2B8F7110"/>
    <w:rsid w:val="32220690"/>
    <w:rsid w:val="37FEFFC6"/>
    <w:rsid w:val="4F5AD228"/>
    <w:rsid w:val="63865FB8"/>
    <w:rsid w:val="713FF057"/>
    <w:rsid w:val="72DA395A"/>
    <w:rsid w:val="75A41213"/>
    <w:rsid w:val="76859B8F"/>
    <w:rsid w:val="7EF7BBBC"/>
    <w:rsid w:val="B6EF337E"/>
    <w:rsid w:val="B8EFCD88"/>
    <w:rsid w:val="BFDB3014"/>
    <w:rsid w:val="DE7AB512"/>
    <w:rsid w:val="FEEFAF39"/>
    <w:rsid w:val="FF5B86C3"/>
    <w:rsid w:val="FFDD32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annotation text"/>
    <w:basedOn w:val="1"/>
    <w:link w:val="13"/>
    <w:qFormat/>
    <w:uiPriority w:val="0"/>
    <w:pPr>
      <w:jc w:val="left"/>
    </w:pPr>
  </w:style>
  <w:style w:type="paragraph" w:styleId="4">
    <w:name w:val="Balloon Text"/>
    <w:basedOn w:val="1"/>
    <w:link w:val="15"/>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character" w:customStyle="1" w:styleId="11">
    <w:name w:val="font111"/>
    <w:basedOn w:val="9"/>
    <w:qFormat/>
    <w:uiPriority w:val="0"/>
    <w:rPr>
      <w:rFonts w:hint="eastAsia" w:ascii="黑体" w:hAnsi="宋体" w:eastAsia="黑体" w:cs="黑体"/>
      <w:i/>
      <w:iCs/>
      <w:color w:val="000000"/>
      <w:sz w:val="20"/>
      <w:szCs w:val="20"/>
      <w:u w:val="none"/>
    </w:rPr>
  </w:style>
  <w:style w:type="character" w:customStyle="1" w:styleId="12">
    <w:name w:val="页眉 Char"/>
    <w:basedOn w:val="9"/>
    <w:link w:val="6"/>
    <w:qFormat/>
    <w:uiPriority w:val="0"/>
    <w:rPr>
      <w:kern w:val="2"/>
      <w:sz w:val="18"/>
      <w:szCs w:val="18"/>
    </w:rPr>
  </w:style>
  <w:style w:type="character" w:customStyle="1" w:styleId="13">
    <w:name w:val="批注文字 Char"/>
    <w:basedOn w:val="9"/>
    <w:link w:val="3"/>
    <w:qFormat/>
    <w:uiPriority w:val="0"/>
    <w:rPr>
      <w:kern w:val="2"/>
      <w:sz w:val="21"/>
    </w:rPr>
  </w:style>
  <w:style w:type="character" w:customStyle="1" w:styleId="14">
    <w:name w:val="批注主题 Char"/>
    <w:basedOn w:val="13"/>
    <w:link w:val="7"/>
    <w:qFormat/>
    <w:uiPriority w:val="0"/>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PLA</Company>
  <Pages>5</Pages>
  <Words>477</Words>
  <Characters>2722</Characters>
  <Lines>22</Lines>
  <Paragraphs>6</Paragraphs>
  <TotalTime>0</TotalTime>
  <ScaleCrop>false</ScaleCrop>
  <LinksUpToDate>false</LinksUpToDate>
  <CharactersWithSpaces>3193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2024-03-10T20:45:00Z</dcterms:created>
  <dc:creator>DOCTOR</dc:creator>
  <cp:lastModifiedBy>Lenovo</cp:lastModifiedBy>
  <dcterms:modified xsi:type="dcterms:W3CDTF">2025-08-25T02:01:42Z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90010A8A127DED612B235E681EF09E4F_43</vt:lpwstr>
  </property>
  <property fmtid="{D5CDD505-2E9C-101B-9397-08002B2CF9AE}" pid="4" name="KSOTemplateDocerSaveRecord">
    <vt:lpwstr>eyJoZGlkIjoiNTI2NTMzZmRkNzIyNDI4MjczMzQwNGEyZDhjYjRjMzYiLCJ1c2VySWQiOiI0MzQzNjY1NDgifQ==</vt:lpwstr>
  </property>
</Properties>
</file>