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采购需求表（服务类）</w:t>
      </w:r>
    </w:p>
    <w:tbl>
      <w:tblPr>
        <w:tblStyle w:val="8"/>
        <w:tblpPr w:leftFromText="180" w:rightFromText="180" w:vertAnchor="text" w:horzAnchor="page" w:tblpX="1522" w:tblpY="554"/>
        <w:tblOverlap w:val="never"/>
        <w:tblW w:w="9060" w:type="dxa"/>
        <w:tblInd w:w="0" w:type="dxa"/>
        <w:tblLayout w:type="fixed"/>
        <w:tblCellMar>
          <w:top w:w="0" w:type="dxa"/>
          <w:left w:w="108" w:type="dxa"/>
          <w:bottom w:w="0" w:type="dxa"/>
          <w:right w:w="108" w:type="dxa"/>
        </w:tblCellMar>
      </w:tblPr>
      <w:tblGrid>
        <w:gridCol w:w="501"/>
        <w:gridCol w:w="669"/>
        <w:gridCol w:w="720"/>
        <w:gridCol w:w="795"/>
        <w:gridCol w:w="3210"/>
        <w:gridCol w:w="1208"/>
        <w:gridCol w:w="727"/>
        <w:gridCol w:w="1230"/>
      </w:tblGrid>
      <w:tr>
        <w:tblPrEx>
          <w:tblLayout w:type="fixed"/>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4725"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“野外条件下车载机动方舱智能中医诊疗工作站”研发服务</w:t>
            </w:r>
          </w:p>
        </w:tc>
        <w:tc>
          <w:tcPr>
            <w:tcW w:w="120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45</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序号</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kern w:val="0"/>
                <w:sz w:val="20"/>
              </w:rPr>
            </w:pPr>
            <w:r>
              <w:rPr>
                <w:rFonts w:hint="eastAsia" w:ascii="宋体" w:hAnsi="宋体" w:cs="宋体"/>
                <w:b/>
                <w:bCs/>
                <w:color w:val="000000"/>
                <w:kern w:val="0"/>
                <w:sz w:val="22"/>
                <w:szCs w:val="22"/>
              </w:rPr>
              <w:t>需求名称</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参数性质</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需求具体内容</w:t>
            </w:r>
          </w:p>
        </w:tc>
        <w:tc>
          <w:tcPr>
            <w:tcW w:w="727" w:type="dxa"/>
            <w:tcBorders>
              <w:top w:val="single" w:color="000000" w:sz="4" w:space="0"/>
              <w:left w:val="single" w:color="000000" w:sz="4" w:space="0"/>
              <w:bottom w:val="nil"/>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是否量化</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备注（证明材料等其他要求）</w:t>
            </w:r>
          </w:p>
        </w:tc>
      </w:tr>
      <w:tr>
        <w:tblPrEx>
          <w:tblLayout w:type="fixed"/>
          <w:tblCellMar>
            <w:top w:w="0" w:type="dxa"/>
            <w:left w:w="108" w:type="dxa"/>
            <w:bottom w:w="0" w:type="dxa"/>
            <w:right w:w="108" w:type="dxa"/>
          </w:tblCellMar>
        </w:tblPrEx>
        <w:trPr>
          <w:trHeight w:val="500" w:hRule="atLeast"/>
        </w:trPr>
        <w:tc>
          <w:tcPr>
            <w:tcW w:w="9060"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0"/>
              </w:rPr>
            </w:pPr>
            <w:r>
              <w:rPr>
                <w:rFonts w:hint="eastAsia" w:ascii="宋体" w:hAnsi="宋体" w:cs="宋体"/>
                <w:color w:val="000000"/>
                <w:kern w:val="0"/>
                <w:sz w:val="22"/>
                <w:szCs w:val="22"/>
              </w:rPr>
              <w:t>技术要求</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基本要求</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中标单位根据技术性要求中的关于“野外条件下车载机动方舱智能中医诊疗工作站”的功能和技术指标要求，为甲方提供方案设计、技术沟通、样机试制和样机优化等几项服务；</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92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“野外条件下车载机动方舱智能中医诊疗工作站”采用折叠式设计，减少机动状态下的舱内空间占用，折叠时尺寸≤120*80*80cm</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诊疗工作站折叠采取四连杆加液压阻尼铰链组合结构，带机械卡扣式安全锁止机构，展开 / 收折小于等于 10 秒</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承重性能静态承重大于等于 80 公斤，动态行驶承重大于等于 60 公斤</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5</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诊疗工作站台面采用抗菌型抗倍特板，厚度不低于 12 毫米，具备抗菌、易清洁特性</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6</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诊疗工作站台面下带有支撑结构：折叠翼下方配备可伸缩铝合金支腿，液压杆自动弹出，承重时自锁</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7</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诊疗工作站台面内嵌集成式脉诊模块，工作站侧面墙壁挂载舌诊模块，可同时满足动态行驶状态下的颠簸运输环境以及静态下的诊疗需求</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8</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包含基座组件，为 304 不锈钢预埋板，通过方舱底盘骨架螺栓固定</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9</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采取快速卡扣方式，实现诊疗工作站与方舱的连接，安装拆卸时间小于等于 20 秒</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10</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设备减震：诊疗控制台下方以及各个模块固定基座之间均安装有减震机构，适应长时间机动化运输的振动环境，固有频率小于等于 15Hz</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11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诊疗台台面模块化设计，台面带安装接口和数据接口，安装 / 拆卸时间小于 10 秒</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12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车载脉诊模块尺寸：＜400×400×500mm</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在技术方案中提供相应参数</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13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在电脑端可以以 3D 图形化方式显示脉象采集结果</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14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提供脉象分析结果包括左手脉象右手脉象双手总脉以及心率，对脉象特征进行解析，包含分部脉象柱状图、分部脉象 3D 图、六经辩证图、气血津液等</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15</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测量方式为 96 通道多点阵列压力传感器测量，并配合有气体泵自动加压，集成有数字式压力传感器，可实现自动快速排气，压力范围为 0~200mmHg</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sz w:val="22"/>
                <w:szCs w:val="22"/>
              </w:rPr>
            </w:pPr>
            <w:r>
              <w:rPr>
                <w:rFonts w:hint="eastAsia" w:ascii="宋体" w:hAnsi="宋体" w:cs="宋体"/>
                <w:color w:val="000000"/>
                <w:kern w:val="0"/>
                <w:sz w:val="22"/>
                <w:szCs w:val="22"/>
              </w:rPr>
              <w:t>16</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压力测量精度：±0.1mmHg</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17</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sz w:val="22"/>
                <w:szCs w:val="22"/>
              </w:rPr>
            </w:pPr>
            <w:r>
              <w:rPr>
                <w:rFonts w:hint="eastAsia" w:ascii="宋体" w:hAnsi="宋体" w:cs="宋体"/>
                <w:color w:val="000000"/>
                <w:kern w:val="0"/>
                <w:sz w:val="22"/>
                <w:szCs w:val="22"/>
              </w:rPr>
              <w:t>脉搏测量精度：±1 次</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sz w:val="22"/>
                <w:szCs w:val="22"/>
              </w:rPr>
            </w:pPr>
          </w:p>
        </w:tc>
      </w:tr>
      <w:tr>
        <w:tblPrEx>
          <w:tblLayout w:type="fixed"/>
          <w:tblCellMar>
            <w:top w:w="0" w:type="dxa"/>
            <w:left w:w="108" w:type="dxa"/>
            <w:bottom w:w="0" w:type="dxa"/>
            <w:right w:w="108" w:type="dxa"/>
          </w:tblCellMar>
        </w:tblPrEx>
        <w:trPr>
          <w:trHeight w:val="46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18</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悬壁式模块化设计，安装于诊疗台侧面方舱内壁，具有缓震机构</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19</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车载舌诊模块尺寸：＜300×300×500mm</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kern w:val="0"/>
                <w:sz w:val="22"/>
                <w:szCs w:val="22"/>
              </w:rPr>
            </w:pPr>
            <w:r>
              <w:rPr>
                <w:rFonts w:hint="eastAsia" w:ascii="宋体" w:hAnsi="宋体" w:cs="宋体"/>
                <w:color w:val="000000"/>
                <w:kern w:val="0"/>
                <w:sz w:val="22"/>
                <w:szCs w:val="22"/>
              </w:rPr>
              <w:t>20</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壁挂组件包含 LED 环形光源、防尘结构框架、超清相机。防尘结构框架具有 LED 紫外消毒和负压排风消毒功能</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21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便携式采集装置采集口有多曲面与人脸轮廓立体贴合设计，避免漏光干扰，采集数据准确性</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22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超清相机组件支持自动白平衡、自动对焦，CMOS 像素 5000 万</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23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LED 光源为环形光源结构，色温 3800K~6000K，可手动调节，亮度可调</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kern w:val="0"/>
                <w:sz w:val="22"/>
                <w:szCs w:val="22"/>
              </w:rPr>
            </w:pPr>
            <w:r>
              <w:rPr>
                <w:rFonts w:hint="eastAsia" w:ascii="宋体" w:hAnsi="宋体" w:cs="宋体"/>
                <w:color w:val="000000"/>
                <w:kern w:val="0"/>
                <w:sz w:val="22"/>
                <w:szCs w:val="22"/>
              </w:rPr>
              <w:t>24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系统具有智能语音引导和规范舌诊操作的语音提示</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25</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系统基于人工智能技术对中医医案及舌面象数据进行智能化、标准化分析。用于中医舌面象颜色属性识别及特征的定量分舌象多尺度目标像素识别与提取、舌象纹理细节特征的识别与分类</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kern w:val="0"/>
                <w:sz w:val="22"/>
                <w:szCs w:val="22"/>
              </w:rPr>
            </w:pPr>
            <w:r>
              <w:rPr>
                <w:rFonts w:hint="eastAsia" w:ascii="宋体" w:hAnsi="宋体" w:cs="宋体"/>
                <w:color w:val="000000"/>
                <w:kern w:val="0"/>
                <w:sz w:val="22"/>
                <w:szCs w:val="22"/>
              </w:rPr>
              <w:t>26</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具备 AI 智能分析舌色、苔色、舌形、苔质、 津液及舌下络脉分类特征值及舌象脏腑局部特征</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72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27</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sz w:val="22"/>
                <w:szCs w:val="22"/>
              </w:rPr>
            </w:pPr>
            <w:r>
              <w:rPr>
                <w:rFonts w:hint="eastAsia" w:ascii="宋体" w:hAnsi="宋体" w:cs="宋体"/>
                <w:color w:val="000000"/>
                <w:kern w:val="0"/>
                <w:sz w:val="22"/>
                <w:szCs w:val="22"/>
              </w:rPr>
              <w:t>集成有远程协助系统，可采集诊疗工作站集成模块的运行状态数据，联通后方指挥中心，并提供数字孪生软件，可在指挥中心的大屏以三维形式呈现系统实施状态</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28</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可借助 MR 设备与远程协助协同，实现车载智能中医诊疗工作站的远程维修、维护</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29</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多模通信与高带宽传输：支持 4g/5g 双模通信，传输带宽大于等于 50Mbps，满足 4k 高清影像实时传输需求，确保远程会诊画面无延迟无卡顿</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30</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同时传输脉诊仪波形数据、舌诊仪高清图像及设备运行参数，确保数据时间戳同步，误差≤10ms</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31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集成语音通话、电子白板功能，支持多人同时标注舌诊图像或脉诊图谱，标注内容实时同步</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32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配备≥15.6 英寸触屏，支持手套操作，便于医护人员在诊疗时快速切换远程协助界面、调取脉诊舌诊数据</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33</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使用温度范围：-20~46 摄氏度</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34</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存储温度：-40~60℃</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35</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黑体" w:hAnsi="宋体" w:eastAsia="黑体" w:cs="黑体"/>
                <w:kern w:val="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提供环境适应性检测报告</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i/>
                <w:iCs/>
                <w:kern w:val="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36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提供工程技术方案，由甲方组织专家评审通过后进行试制</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37</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具备特种任务医疗救援器材开发案例经验</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合同与开发案例说明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color w:val="000000"/>
                <w:kern w:val="0"/>
                <w:sz w:val="22"/>
                <w:szCs w:val="22"/>
              </w:rPr>
              <w:t>38</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交付内容</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黑体" w:cs="宋体"/>
                <w:color w:val="000000"/>
                <w:kern w:val="0"/>
                <w:sz w:val="22"/>
                <w:szCs w:val="22"/>
              </w:rPr>
            </w:pPr>
            <w:r>
              <w:rPr>
                <w:rFonts w:hint="eastAsia" w:ascii="宋体" w:hAnsi="宋体" w:cs="宋体"/>
                <w:color w:val="000000"/>
                <w:kern w:val="0"/>
                <w:sz w:val="22"/>
                <w:szCs w:val="22"/>
              </w:rPr>
              <w:t>野外条件下车载机动方舱智能中医诊疗工作站样机一套，设计图样一套，检测报告一套，说明书一份，维修维护手册一份</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9060"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经济要求</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sz w:val="22"/>
                <w:szCs w:val="22"/>
              </w:rPr>
              <w:t>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交货时间</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要求自签订合同之日起，研发交付周期不多于 60 个工作日；</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cs="宋体"/>
                <w:sz w:val="22"/>
                <w:szCs w:val="22"/>
              </w:rPr>
            </w:pPr>
            <w:r>
              <w:rPr>
                <w:rFonts w:hint="eastAsia" w:ascii="宋体" w:hAnsi="宋体" w:cs="宋体"/>
                <w:kern w:val="0"/>
                <w:sz w:val="22"/>
                <w:szCs w:val="22"/>
                <w:lang w:val="en-US" w:eastAsia="zh-CN" w:bidi="ar"/>
              </w:rPr>
              <w:t>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cs="宋体"/>
                <w:color w:val="000000"/>
                <w:kern w:val="0"/>
                <w:sz w:val="22"/>
                <w:szCs w:val="22"/>
              </w:rPr>
            </w:pPr>
            <w:r>
              <w:rPr>
                <w:rFonts w:hint="eastAsia" w:ascii="宋体" w:hAnsi="宋体" w:cs="宋体"/>
                <w:kern w:val="0"/>
                <w:sz w:val="22"/>
                <w:szCs w:val="22"/>
                <w:lang w:eastAsia="zh-CN" w:bidi="ar"/>
              </w:rPr>
              <w:t>付款方式</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kern w:val="0"/>
                <w:sz w:val="22"/>
                <w:szCs w:val="22"/>
              </w:rPr>
            </w:pPr>
            <w:r>
              <w:rPr>
                <w:rFonts w:hint="eastAsia" w:ascii="宋体" w:hAnsi="宋体" w:cs="宋体"/>
                <w:kern w:val="0"/>
                <w:sz w:val="22"/>
                <w:szCs w:val="22"/>
                <w:lang w:bidi="ar"/>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cs="宋体"/>
                <w:color w:val="000000"/>
                <w:kern w:val="0"/>
                <w:sz w:val="22"/>
                <w:szCs w:val="22"/>
              </w:rPr>
            </w:pPr>
            <w:r>
              <w:rPr>
                <w:rFonts w:hint="eastAsia" w:ascii="宋体" w:hAnsi="宋体" w:cs="宋体"/>
                <w:kern w:val="0"/>
                <w:sz w:val="22"/>
                <w:szCs w:val="22"/>
                <w:lang w:eastAsia="zh-CN" w:bidi="ar"/>
              </w:rPr>
              <w:t>合同签订后付</w:t>
            </w:r>
            <w:r>
              <w:rPr>
                <w:rFonts w:hint="eastAsia" w:ascii="宋体" w:hAnsi="宋体" w:cs="宋体"/>
                <w:kern w:val="0"/>
                <w:sz w:val="22"/>
                <w:szCs w:val="22"/>
                <w:lang w:val="en-US" w:eastAsia="zh-CN" w:bidi="ar"/>
              </w:rPr>
              <w:t>30%首付款，完成验收后付65%，质保期满后，付5%。</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黑体" w:hAnsi="黑体" w:eastAsia="黑体" w:cs="黑体"/>
                <w:sz w:val="22"/>
                <w:szCs w:val="22"/>
                <w:lang w:eastAsia="zh-CN"/>
              </w:rPr>
            </w:pPr>
            <w:r>
              <w:rPr>
                <w:rFonts w:hint="eastAsia" w:ascii="宋体" w:hAnsi="宋体" w:eastAsia="黑体" w:cs="宋体"/>
                <w:sz w:val="22"/>
                <w:szCs w:val="22"/>
                <w:lang w:val="en-US" w:eastAsia="zh-CN"/>
              </w:rPr>
              <w:t>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样机供应商免费负责对技术管理人员、操作人员、维修人员进行本套生产线设备的培训，培训应包括但不限于以下内容：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（1） 设备控制系统和信息系统</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（2） 设备操作</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（3） 设备故障排除及维护保养</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sz w:val="22"/>
                <w:szCs w:val="22"/>
              </w:rPr>
              <w:t>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样机供应商必须提供纸质版或电子版培训资料。所有的资料必须是中文书写。</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sz w:val="22"/>
                <w:szCs w:val="22"/>
              </w:rPr>
              <w:t>5</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项目启动后，中标单位应按照服务方案中关于项目经理和团队其他人员的要求，组建项目团队，明确项目沟通机制，建立和甲方的通畅的沟通渠道，项目实施期间保证每周举行不低于一次项目会，确保双方充分沟通项目进展；</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sz w:val="22"/>
                <w:szCs w:val="22"/>
              </w:rPr>
              <w:t>6</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项目启动后，中标单位提供开发、供货、安装、调试、培训日程安排并按照日程表执行；</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sz w:val="22"/>
                <w:szCs w:val="22"/>
              </w:rPr>
              <w:t>7</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项目实施时的技术沟通环节，中标单位应提供不少于一套详细技术方案并充分向甲方陈述各方案的可行性和优缺点，便于甲方判断和选择更优的方案；</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1223"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黑体" w:hAnsi="黑体" w:eastAsia="黑体" w:cs="黑体"/>
                <w:sz w:val="22"/>
                <w:szCs w:val="22"/>
                <w:lang w:val="en-US" w:eastAsia="zh-CN"/>
              </w:rPr>
            </w:pPr>
            <w:r>
              <w:rPr>
                <w:rFonts w:hint="eastAsia" w:ascii="黑体" w:hAnsi="黑体" w:eastAsia="黑体" w:cs="黑体"/>
                <w:sz w:val="22"/>
                <w:szCs w:val="22"/>
                <w:lang w:val="en-US" w:eastAsia="zh-CN"/>
              </w:rPr>
              <w:t>8</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若本项目中产品方面的配置或要求中出现不合理或不完整的问题以及出现设备故障时，中标单位有责任和义务提出补充修改方案和免费更换。</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bl>
    <w:p>
      <w:pPr>
        <w:pStyle w:val="2"/>
        <w:rPr>
          <w:rFonts w:hint="default"/>
        </w:rPr>
      </w:pPr>
    </w:p>
    <w:p>
      <w:pPr>
        <w:overflowPunct w:val="0"/>
        <w:spacing w:afterLines="50" w:line="570" w:lineRule="exact"/>
        <w:ind w:left="750" w:leftChars="1" w:hanging="748" w:hangingChars="234"/>
        <w:jc w:val="left"/>
        <w:rPr>
          <w:rFonts w:ascii="黑体" w:hAnsi="黑体" w:eastAsia="黑体"/>
          <w:sz w:val="32"/>
          <w:szCs w:val="32"/>
        </w:rPr>
      </w:pPr>
    </w:p>
    <w:p>
      <w:pPr>
        <w:pStyle w:val="2"/>
        <w:rPr>
          <w:rFonts w:hint="default"/>
          <w:sz w:val="32"/>
          <w:szCs w:val="32"/>
        </w:rPr>
      </w:pPr>
    </w:p>
    <w:p>
      <w:pPr>
        <w:pStyle w:val="2"/>
        <w:rPr>
          <w:rFonts w:hint="default"/>
          <w:sz w:val="32"/>
          <w:szCs w:val="32"/>
        </w:rPr>
      </w:pPr>
    </w:p>
    <w:p>
      <w:pPr>
        <w:pStyle w:val="2"/>
        <w:rPr>
          <w:rFonts w:hint="default"/>
          <w:sz w:val="32"/>
          <w:szCs w:val="32"/>
        </w:rPr>
      </w:pPr>
    </w:p>
    <w:p>
      <w:pPr>
        <w:pStyle w:val="2"/>
        <w:rPr>
          <w:rFonts w:hint="default"/>
          <w:sz w:val="32"/>
          <w:szCs w:val="32"/>
        </w:rPr>
      </w:pPr>
    </w:p>
    <w:p>
      <w:pPr>
        <w:pStyle w:val="2"/>
        <w:rPr>
          <w:rFonts w:hint="default"/>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84F90"/>
    <w:rsid w:val="00784F90"/>
    <w:rsid w:val="00BC712A"/>
    <w:rsid w:val="00CD3975"/>
    <w:rsid w:val="07134B1B"/>
    <w:rsid w:val="17FD49B5"/>
    <w:rsid w:val="23FD665C"/>
    <w:rsid w:val="315C7D3F"/>
    <w:rsid w:val="4F5AD228"/>
    <w:rsid w:val="4FDD4732"/>
    <w:rsid w:val="59AC3F06"/>
    <w:rsid w:val="63865FB8"/>
    <w:rsid w:val="6C703AB0"/>
    <w:rsid w:val="77E96904"/>
    <w:rsid w:val="7B7FC914"/>
    <w:rsid w:val="7DD77E32"/>
    <w:rsid w:val="7DF5AF3A"/>
    <w:rsid w:val="BFDB3014"/>
    <w:rsid w:val="CFEEC7A7"/>
    <w:rsid w:val="EFFFAAB2"/>
    <w:rsid w:val="F26D4C20"/>
    <w:rsid w:val="FEEFAF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annotation text"/>
    <w:basedOn w:val="1"/>
    <w:link w:val="13"/>
    <w:qFormat/>
    <w:uiPriority w:val="0"/>
    <w:pPr>
      <w:jc w:val="left"/>
    </w:pPr>
  </w:style>
  <w:style w:type="paragraph" w:styleId="4">
    <w:name w:val="Balloon Text"/>
    <w:basedOn w:val="1"/>
    <w:link w:val="15"/>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4"/>
    <w:qFormat/>
    <w:uiPriority w:val="0"/>
    <w:rPr>
      <w:b/>
      <w:bCs/>
    </w:rPr>
  </w:style>
  <w:style w:type="character" w:styleId="10">
    <w:name w:val="annotation reference"/>
    <w:basedOn w:val="9"/>
    <w:qFormat/>
    <w:uiPriority w:val="0"/>
    <w:rPr>
      <w:sz w:val="21"/>
      <w:szCs w:val="21"/>
    </w:rPr>
  </w:style>
  <w:style w:type="character" w:customStyle="1" w:styleId="11">
    <w:name w:val="font111"/>
    <w:basedOn w:val="9"/>
    <w:qFormat/>
    <w:uiPriority w:val="0"/>
    <w:rPr>
      <w:rFonts w:hint="eastAsia" w:ascii="黑体" w:hAnsi="宋体" w:eastAsia="黑体" w:cs="黑体"/>
      <w:i/>
      <w:iCs/>
      <w:color w:val="000000"/>
      <w:sz w:val="20"/>
      <w:szCs w:val="20"/>
      <w:u w:val="none"/>
    </w:rPr>
  </w:style>
  <w:style w:type="character" w:customStyle="1" w:styleId="12">
    <w:name w:val="页眉 Char"/>
    <w:basedOn w:val="9"/>
    <w:link w:val="6"/>
    <w:qFormat/>
    <w:uiPriority w:val="0"/>
    <w:rPr>
      <w:kern w:val="2"/>
      <w:sz w:val="18"/>
      <w:szCs w:val="18"/>
    </w:rPr>
  </w:style>
  <w:style w:type="character" w:customStyle="1" w:styleId="13">
    <w:name w:val="批注文字 Char"/>
    <w:basedOn w:val="9"/>
    <w:link w:val="3"/>
    <w:qFormat/>
    <w:uiPriority w:val="0"/>
    <w:rPr>
      <w:kern w:val="2"/>
      <w:sz w:val="21"/>
    </w:rPr>
  </w:style>
  <w:style w:type="character" w:customStyle="1" w:styleId="14">
    <w:name w:val="批注主题 Char"/>
    <w:basedOn w:val="13"/>
    <w:link w:val="7"/>
    <w:qFormat/>
    <w:uiPriority w:val="0"/>
  </w:style>
  <w:style w:type="character" w:customStyle="1" w:styleId="15">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PLA</Company>
  <Pages>5</Pages>
  <Words>520</Words>
  <Characters>2967</Characters>
  <Lines>24</Lines>
  <Paragraphs>6</Paragraphs>
  <TotalTime>0</TotalTime>
  <ScaleCrop>false</ScaleCrop>
  <LinksUpToDate>false</LinksUpToDate>
  <CharactersWithSpaces>3481</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2024-03-10T20:45:00Z</dcterms:created>
  <dc:creator>DOCTOR</dc:creator>
  <cp:lastModifiedBy>Lenovo</cp:lastModifiedBy>
  <dcterms:modified xsi:type="dcterms:W3CDTF">2025-08-25T02:00:36Z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90010A8A127DED612B235E681EF09E4F_43</vt:lpwstr>
  </property>
  <property fmtid="{D5CDD505-2E9C-101B-9397-08002B2CF9AE}" pid="4" name="KSOTemplateDocerSaveRecord">
    <vt:lpwstr>eyJoZGlkIjoiNTI2NTMzZmRkNzIyNDI4MjczMzQwNGEyZDhjYjRjMzYiLCJ1c2VySWQiOiI0MzQzNjY1NDgifQ==</vt:lpwstr>
  </property>
</Properties>
</file>