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line="560" w:lineRule="exact"/>
        <w:jc w:val="center"/>
        <w:rPr>
          <w:b w:val="0"/>
          <w:szCs w:val="44"/>
          <w:lang w:val="zh-CN"/>
        </w:rPr>
      </w:pPr>
      <w:bookmarkStart w:id="0" w:name="_Toc9692"/>
      <w:bookmarkStart w:id="1" w:name="_Toc150421246"/>
      <w:bookmarkStart w:id="2" w:name="_Toc130888005"/>
      <w:bookmarkStart w:id="3" w:name="_Toc130661176"/>
      <w:bookmarkStart w:id="4" w:name="_Toc132186973"/>
      <w:bookmarkStart w:id="5" w:name="_Toc112317781"/>
      <w:bookmarkStart w:id="6" w:name="_Toc128154366"/>
      <w:bookmarkStart w:id="7" w:name="_Toc32050"/>
      <w:bookmarkStart w:id="8" w:name="_Toc30564"/>
      <w:bookmarkStart w:id="9" w:name="_Toc21632"/>
      <w:bookmarkStart w:id="10" w:name="_Toc132191257"/>
      <w:bookmarkStart w:id="11" w:name="_Toc28545"/>
      <w:bookmarkStart w:id="12" w:name="_Toc112768491"/>
      <w:bookmarkStart w:id="13" w:name="_Toc152058289"/>
      <w:bookmarkStart w:id="14" w:name="_Toc128470293"/>
      <w:r>
        <w:rPr>
          <w:rFonts w:hint="eastAsia"/>
          <w:b w:val="0"/>
          <w:szCs w:val="44"/>
          <w:lang w:val="zh-CN"/>
        </w:rPr>
        <w:t>第六章</w:t>
      </w:r>
      <w:r>
        <w:rPr>
          <w:b w:val="0"/>
          <w:szCs w:val="44"/>
          <w:lang w:val="zh-CN"/>
        </w:rPr>
        <w:t xml:space="preserve"> </w:t>
      </w:r>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pStyle w:val="4"/>
        <w:spacing w:before="0" w:after="0" w:line="560" w:lineRule="exact"/>
        <w:ind w:firstLine="560" w:firstLineChars="200"/>
        <w:rPr>
          <w:rFonts w:hint="eastAsia" w:ascii="黑体" w:hAnsi="黑体" w:cs="黑体"/>
          <w:b w:val="0"/>
          <w:sz w:val="28"/>
          <w:szCs w:val="28"/>
        </w:rPr>
      </w:pPr>
      <w:bookmarkStart w:id="15" w:name="_Toc112768493"/>
      <w:bookmarkStart w:id="16" w:name="_Toc13168"/>
      <w:bookmarkStart w:id="17" w:name="_Toc132186974"/>
      <w:bookmarkStart w:id="18" w:name="_Toc128154367"/>
      <w:bookmarkStart w:id="19" w:name="_Toc130888006"/>
      <w:bookmarkStart w:id="20" w:name="_Toc152058290"/>
      <w:bookmarkStart w:id="21" w:name="_Toc14060"/>
      <w:bookmarkStart w:id="22" w:name="_Toc132191258"/>
      <w:bookmarkStart w:id="23" w:name="_Toc128470294"/>
      <w:bookmarkStart w:id="24" w:name="_Toc32238"/>
      <w:bookmarkStart w:id="25" w:name="_Toc22977"/>
      <w:bookmarkStart w:id="26" w:name="_Toc150421247"/>
      <w:bookmarkStart w:id="27" w:name="_Toc112681847"/>
      <w:bookmarkStart w:id="28" w:name="_Toc22203"/>
      <w:bookmarkStart w:id="29" w:name="_Toc285612596"/>
      <w:r>
        <w:rPr>
          <w:rFonts w:hint="eastAsia" w:ascii="黑体" w:hAnsi="黑体" w:cs="黑体"/>
          <w:b w:val="0"/>
          <w:sz w:val="28"/>
          <w:szCs w:val="28"/>
        </w:rPr>
        <w:t>一、商务要求</w:t>
      </w:r>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6"/>
        <w:tblW w:w="8835" w:type="dxa"/>
        <w:tblInd w:w="0" w:type="dxa"/>
        <w:shd w:val="clear" w:color="auto" w:fill="auto"/>
        <w:tblLayout w:type="fixed"/>
        <w:tblCellMar>
          <w:top w:w="0" w:type="dxa"/>
          <w:left w:w="0" w:type="dxa"/>
          <w:bottom w:w="0" w:type="dxa"/>
          <w:right w:w="0" w:type="dxa"/>
        </w:tblCellMar>
      </w:tblPr>
      <w:tblGrid>
        <w:gridCol w:w="285"/>
        <w:gridCol w:w="2741"/>
        <w:gridCol w:w="285"/>
        <w:gridCol w:w="3933"/>
        <w:gridCol w:w="1591"/>
      </w:tblGrid>
      <w:tr>
        <w:tblPrEx>
          <w:shd w:val="clear" w:color="auto" w:fill="auto"/>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序号</w:t>
            </w:r>
          </w:p>
        </w:tc>
        <w:tc>
          <w:tcPr>
            <w:tcW w:w="27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需求名称</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参数性质</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需求具体内容</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备注（证明材料等其他要求）</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27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交货时间、交货地点</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合同签订后3个月内交付，交付地点由甲方指定</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27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付款及结算方式</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签订合同付（预付）0%，物资到货（服务完成）验收后付95%。</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履约保证金/质量保证金</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验收合格后满1年无质量问题支付剩余5%（不超过5%）</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产品包装和运输要求</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按照国家、行业相关标准规范，产品确保包装完好，运输确保不对产品造成损伤。</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售后服务1</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保修年限不低于3年，全年故障停机时间不高于5%（按365日/年计算)。</w:t>
            </w:r>
          </w:p>
        </w:tc>
        <w:tc>
          <w:tcPr>
            <w:tcW w:w="15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原厂授权（企业承诺）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6</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售后服务2</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保修期内免费提供定期维护保养服务，免费升级和维护软件，免费提供使用培训。</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7</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售后服务3</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提供不少于1人次、1天的工程师维修培训。</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8</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售后服务4</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（响应时间）</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维修响应时间≤6小时，维修到达现场时间≤24小时。</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9</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备品备件要求（零配件）</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由供应商承诺项目使用寿命周期内保证零配件供应。</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2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10</w:t>
            </w:r>
          </w:p>
        </w:tc>
        <w:tc>
          <w:tcPr>
            <w:tcW w:w="27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专用工具</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3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11</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物资编目编码、打码贴签要求</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本项目对物资的编目编码、打码贴签要求，报价供应商应当予以明确响应，相关费用包含在报价中。</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33" w:hRule="atLeast"/>
        </w:trPr>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0"/>
                <w:szCs w:val="20"/>
                <w:u w:val="none"/>
                <w:lang w:val="en-US" w:eastAsia="zh-CN" w:bidi="ar"/>
              </w:rPr>
              <w:t>12</w:t>
            </w:r>
          </w:p>
        </w:tc>
        <w:tc>
          <w:tcPr>
            <w:tcW w:w="27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0"/>
                <w:szCs w:val="20"/>
                <w:u w:val="none"/>
                <w:lang w:val="en-US" w:eastAsia="zh-CN" w:bidi="ar"/>
              </w:rPr>
              <w:t>知识产权和保密要求</w:t>
            </w:r>
          </w:p>
        </w:tc>
        <w:tc>
          <w:tcPr>
            <w:tcW w:w="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w:t>
            </w:r>
          </w:p>
        </w:tc>
        <w:tc>
          <w:tcPr>
            <w:tcW w:w="3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报价供应商应当保证采购单位在使用该物资或其任何一部分时，不受第三方侵权指控。同时，报价供应商不得向第三方泄露采购机构提供的技术文件等材料。</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黑体" w:hAnsi="宋体" w:eastAsia="黑体" w:cs="黑体"/>
                <w:i w:val="0"/>
                <w:color w:val="000000"/>
                <w:kern w:val="0"/>
                <w:sz w:val="20"/>
                <w:szCs w:val="20"/>
                <w:u w:val="none"/>
                <w:lang w:val="en-US" w:eastAsia="zh-CN" w:bidi="ar"/>
              </w:rPr>
              <w:t>基于项目合同履行形成的知识产权和其他权益，其权属归采购单位所有，法律另有规定的除外</w:t>
            </w:r>
          </w:p>
        </w:tc>
        <w:tc>
          <w:tcPr>
            <w:tcW w:w="15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企业承诺</w:t>
            </w:r>
          </w:p>
        </w:tc>
      </w:tr>
    </w:tbl>
    <w:p/>
    <w:bookmarkEnd w:id="29"/>
    <w:p>
      <w:pPr>
        <w:ind w:firstLine="420" w:firstLineChars="200"/>
      </w:pPr>
    </w:p>
    <w:p>
      <w:pPr>
        <w:pStyle w:val="2"/>
      </w:pPr>
    </w:p>
    <w:p/>
    <w:p>
      <w:pPr>
        <w:pStyle w:val="2"/>
      </w:pPr>
    </w:p>
    <w:p/>
    <w:p>
      <w:pPr>
        <w:pStyle w:val="4"/>
        <w:spacing w:before="0" w:after="0" w:line="560" w:lineRule="exact"/>
        <w:ind w:firstLine="560" w:firstLineChars="200"/>
        <w:rPr>
          <w:rFonts w:ascii="黑体" w:hAnsi="黑体" w:cs="黑体"/>
          <w:b w:val="0"/>
          <w:sz w:val="28"/>
          <w:szCs w:val="28"/>
        </w:rPr>
      </w:pPr>
      <w:bookmarkStart w:id="30" w:name="_Toc152057837"/>
      <w:bookmarkStart w:id="31" w:name="_Toc150418428"/>
      <w:bookmarkStart w:id="32" w:name="_Toc128151027"/>
      <w:bookmarkStart w:id="33" w:name="_Toc130887500"/>
      <w:bookmarkStart w:id="34" w:name="_Toc128150778"/>
      <w:bookmarkStart w:id="35" w:name="_Toc128150134"/>
      <w:bookmarkStart w:id="36" w:name="_Toc132190634"/>
      <w:bookmarkStart w:id="37" w:name="_Toc127820564"/>
      <w:bookmarkStart w:id="38" w:name="_Toc128397970"/>
      <w:r>
        <w:rPr>
          <w:rFonts w:hint="eastAsia" w:ascii="黑体" w:hAnsi="黑体" w:cs="黑体"/>
          <w:b w:val="0"/>
          <w:sz w:val="28"/>
          <w:szCs w:val="28"/>
        </w:rPr>
        <w:t>二、技术要求</w:t>
      </w:r>
      <w:bookmarkEnd w:id="30"/>
      <w:bookmarkEnd w:id="31"/>
      <w:bookmarkEnd w:id="32"/>
      <w:bookmarkEnd w:id="33"/>
      <w:bookmarkEnd w:id="34"/>
      <w:bookmarkEnd w:id="35"/>
      <w:bookmarkEnd w:id="36"/>
      <w:bookmarkEnd w:id="37"/>
      <w:bookmarkEnd w:id="38"/>
    </w:p>
    <w:tbl>
      <w:tblPr>
        <w:tblStyle w:val="6"/>
        <w:tblW w:w="9460" w:type="dxa"/>
        <w:tblInd w:w="0" w:type="dxa"/>
        <w:shd w:val="clear" w:color="auto" w:fill="auto"/>
        <w:tblLayout w:type="fixed"/>
        <w:tblCellMar>
          <w:top w:w="0" w:type="dxa"/>
          <w:left w:w="0" w:type="dxa"/>
          <w:bottom w:w="0" w:type="dxa"/>
          <w:right w:w="0" w:type="dxa"/>
        </w:tblCellMar>
      </w:tblPr>
      <w:tblGrid>
        <w:gridCol w:w="674"/>
        <w:gridCol w:w="1815"/>
        <w:gridCol w:w="674"/>
        <w:gridCol w:w="4096"/>
        <w:gridCol w:w="986"/>
        <w:gridCol w:w="1215"/>
      </w:tblGrid>
      <w:tr>
        <w:tblPrEx>
          <w:shd w:val="clear" w:color="auto" w:fill="auto"/>
          <w:tblLayout w:type="fixed"/>
          <w:tblCellMar>
            <w:top w:w="0" w:type="dxa"/>
            <w:left w:w="0" w:type="dxa"/>
            <w:bottom w:w="0" w:type="dxa"/>
            <w:right w:w="0" w:type="dxa"/>
          </w:tblCellMar>
        </w:tblPrEx>
        <w:trPr>
          <w:trHeight w:val="656"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参数性质</w:t>
            </w:r>
          </w:p>
        </w:tc>
        <w:tc>
          <w:tcPr>
            <w:tcW w:w="40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需求具体内容</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是否</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量化</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备注（证明材料等其他要求）</w:t>
            </w:r>
          </w:p>
        </w:tc>
      </w:tr>
      <w:tr>
        <w:tblPrEx>
          <w:tblLayout w:type="fixed"/>
          <w:tblCellMar>
            <w:top w:w="0" w:type="dxa"/>
            <w:left w:w="0" w:type="dxa"/>
            <w:bottom w:w="0" w:type="dxa"/>
            <w:right w:w="0" w:type="dxa"/>
          </w:tblCellMar>
        </w:tblPrEx>
        <w:trPr>
          <w:trHeight w:val="656" w:hRule="atLeast"/>
        </w:trPr>
        <w:tc>
          <w:tcPr>
            <w:tcW w:w="94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技术要求</w:t>
            </w:r>
          </w:p>
        </w:tc>
      </w:tr>
      <w:tr>
        <w:tblPrEx>
          <w:tblLayout w:type="fixed"/>
          <w:tblCellMar>
            <w:top w:w="0" w:type="dxa"/>
            <w:left w:w="0" w:type="dxa"/>
            <w:bottom w:w="0" w:type="dxa"/>
            <w:right w:w="0" w:type="dxa"/>
          </w:tblCellMar>
        </w:tblPrEx>
        <w:trPr>
          <w:trHeight w:val="656"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基本要求</w:t>
            </w:r>
          </w:p>
        </w:tc>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输出用于光动力治疗的激光</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注册证或说明书或彩页</w:t>
            </w:r>
          </w:p>
        </w:tc>
      </w:tr>
      <w:tr>
        <w:tblPrEx>
          <w:tblLayout w:type="fixed"/>
          <w:tblCellMar>
            <w:top w:w="0" w:type="dxa"/>
            <w:left w:w="0" w:type="dxa"/>
            <w:bottom w:w="0" w:type="dxa"/>
            <w:right w:w="0" w:type="dxa"/>
          </w:tblCellMar>
        </w:tblPrEx>
        <w:trPr>
          <w:trHeight w:val="656" w:hRule="atLeast"/>
        </w:trPr>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资质认证</w:t>
            </w:r>
          </w:p>
        </w:tc>
        <w:tc>
          <w:tcPr>
            <w:tcW w:w="6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具备NMPA认证</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医疗器械注册证</w:t>
            </w: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8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技术和性能参数</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45"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w:t>
            </w:r>
          </w:p>
        </w:tc>
        <w:tc>
          <w:tcPr>
            <w:tcW w:w="18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主要性能</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输出530nm-635nm波长用于浅表和腔道肿瘤及癌前病变等疾病光动力治疗的激光</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检验报告</w:t>
            </w: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激光器类型</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半导体激光器</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3.3</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激光器耦合方式</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光学耦合或光纤耦合</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激光波长峰值</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（532-630nm）±5nm</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激光波长谱宽度</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（6nm-20）nm</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3.6</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激光输出方式</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连续或多模</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3.7</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激光输出功率</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（500-8000）mW</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3.8</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激光输出功率误差</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3.9</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激光输出功率不稳定度</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治疗时间调整范围</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≥（1-90)分钟可调</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检验报告</w:t>
            </w: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光纤连接保护功能</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光纤脱落或接触不良时报警并及时停止机器输出激光</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光纤</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点状光纤和柱状光纤，光纤具备注册证</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提供注册证</w:t>
            </w: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w:t>
            </w:r>
          </w:p>
        </w:tc>
        <w:tc>
          <w:tcPr>
            <w:tcW w:w="181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bookmarkStart w:id="39" w:name="_GoBack"/>
            <w:bookmarkEnd w:id="39"/>
            <w:r>
              <w:rPr>
                <w:rFonts w:hint="eastAsia" w:ascii="黑体" w:hAnsi="宋体" w:eastAsia="黑体" w:cs="黑体"/>
                <w:i w:val="0"/>
                <w:color w:val="000000"/>
                <w:kern w:val="0"/>
                <w:sz w:val="22"/>
                <w:szCs w:val="22"/>
                <w:u w:val="none"/>
                <w:lang w:val="en-US" w:eastAsia="zh-CN" w:bidi="ar"/>
              </w:rPr>
              <w:t>激光开关控制装置</w:t>
            </w:r>
          </w:p>
        </w:tc>
        <w:tc>
          <w:tcPr>
            <w:tcW w:w="674" w:type="dxa"/>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脚踏开关</w:t>
            </w:r>
          </w:p>
        </w:tc>
        <w:tc>
          <w:tcPr>
            <w:tcW w:w="986" w:type="dxa"/>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3.14</w:t>
            </w:r>
          </w:p>
        </w:tc>
        <w:tc>
          <w:tcPr>
            <w:tcW w:w="1815"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安全联锁装置</w:t>
            </w:r>
          </w:p>
        </w:tc>
        <w:tc>
          <w:tcPr>
            <w:tcW w:w="674"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86"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3.15</w:t>
            </w:r>
          </w:p>
        </w:tc>
        <w:tc>
          <w:tcPr>
            <w:tcW w:w="1815"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数值孔径</w:t>
            </w:r>
          </w:p>
        </w:tc>
        <w:tc>
          <w:tcPr>
            <w:tcW w:w="674"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NA：0.22</w:t>
            </w:r>
          </w:p>
        </w:tc>
        <w:tc>
          <w:tcPr>
            <w:tcW w:w="986"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说明书或彩页</w:t>
            </w:r>
          </w:p>
        </w:tc>
      </w:tr>
      <w:tr>
        <w:tblPrEx>
          <w:tblLayout w:type="fixed"/>
          <w:tblCellMar>
            <w:top w:w="0" w:type="dxa"/>
            <w:left w:w="0" w:type="dxa"/>
            <w:bottom w:w="0" w:type="dxa"/>
            <w:right w:w="0" w:type="dxa"/>
          </w:tblCellMar>
        </w:tblPrEx>
        <w:trPr>
          <w:trHeight w:val="656" w:hRule="atLeast"/>
        </w:trPr>
        <w:tc>
          <w:tcPr>
            <w:tcW w:w="674" w:type="dxa"/>
            <w:tcBorders>
              <w:top w:val="single" w:color="auto"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3.16</w:t>
            </w:r>
          </w:p>
        </w:tc>
        <w:tc>
          <w:tcPr>
            <w:tcW w:w="181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瞄准光功率</w:t>
            </w:r>
          </w:p>
        </w:tc>
        <w:tc>
          <w:tcPr>
            <w:tcW w:w="67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≤5mW</w:t>
            </w:r>
          </w:p>
        </w:tc>
        <w:tc>
          <w:tcPr>
            <w:tcW w:w="98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3.17</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开机自检功能</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3.18</w:t>
            </w:r>
          </w:p>
        </w:tc>
        <w:tc>
          <w:tcPr>
            <w:tcW w:w="181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人机界面</w:t>
            </w:r>
          </w:p>
        </w:tc>
        <w:tc>
          <w:tcPr>
            <w:tcW w:w="674" w:type="dxa"/>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彩色液晶触摸屏</w:t>
            </w:r>
          </w:p>
        </w:tc>
        <w:tc>
          <w:tcPr>
            <w:tcW w:w="986" w:type="dxa"/>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3.19</w:t>
            </w:r>
          </w:p>
        </w:tc>
        <w:tc>
          <w:tcPr>
            <w:tcW w:w="181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激光防护眼镜</w:t>
            </w:r>
          </w:p>
        </w:tc>
        <w:tc>
          <w:tcPr>
            <w:tcW w:w="67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p>
        </w:tc>
        <w:tc>
          <w:tcPr>
            <w:tcW w:w="409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防护波长范围（500-690）nm，OD≥4，透射比≥30%</w:t>
            </w:r>
          </w:p>
        </w:tc>
        <w:tc>
          <w:tcPr>
            <w:tcW w:w="98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6"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主机1台，医用激光光纤2根，激光防护眼镜2副</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1202" w:hRule="atLeast"/>
        </w:trPr>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验收标准</w:t>
            </w:r>
          </w:p>
        </w:tc>
        <w:tc>
          <w:tcPr>
            <w:tcW w:w="67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产品质量达到要求，招标文件及合同中要求的所有配置应符合要求；安装调试各项指标和技术参数应符合招标文件规定的技术要求和有关验收标准要求。</w:t>
            </w:r>
          </w:p>
        </w:tc>
        <w:tc>
          <w:tcPr>
            <w:tcW w:w="98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Layout w:type="fixed"/>
          <w:tblCellMar>
            <w:top w:w="0" w:type="dxa"/>
            <w:left w:w="0" w:type="dxa"/>
            <w:bottom w:w="0" w:type="dxa"/>
            <w:right w:w="0" w:type="dxa"/>
          </w:tblCellMar>
        </w:tblPrEx>
        <w:trPr>
          <w:trHeight w:val="667" w:hRule="atLeast"/>
        </w:trPr>
        <w:tc>
          <w:tcPr>
            <w:tcW w:w="9460"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▲标识的指标负偏离≥2项，投标企业技术分值为0分</w:t>
            </w:r>
          </w:p>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▲标识的指标和“无标识”指标负偏离≥8项，投标企业技术分值为0分</w:t>
            </w:r>
          </w:p>
        </w:tc>
      </w:tr>
    </w:tbl>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kern w:val="0"/>
          <w:sz w:val="22"/>
          <w:szCs w:val="22"/>
          <w:lang w:bidi="ar"/>
        </w:rPr>
      </w:pPr>
      <w:r>
        <w:rPr>
          <w:rFonts w:ascii="宋体" w:hAnsi="宋体" w:cs="宋体"/>
          <w:kern w:val="0"/>
          <w:sz w:val="22"/>
          <w:szCs w:val="22"/>
          <w:lang w:bidi="ar"/>
        </w:rPr>
        <w:t xml:space="preserve">说明 </w:t>
      </w:r>
      <w:r>
        <w:rPr>
          <w:rFonts w:hint="eastAsia" w:ascii="宋体" w:hAnsi="宋体" w:cs="宋体"/>
          <w:kern w:val="0"/>
          <w:sz w:val="22"/>
          <w:szCs w:val="22"/>
          <w:lang w:bidi="ar"/>
        </w:rPr>
        <w:t>：</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1</w:t>
      </w:r>
      <w:r>
        <w:rPr>
          <w:rFonts w:hint="eastAsia" w:ascii="宋体" w:hAnsi="宋体" w:cs="宋体"/>
          <w:kern w:val="0"/>
          <w:sz w:val="22"/>
          <w:szCs w:val="22"/>
          <w:lang w:bidi="ar"/>
        </w:rPr>
        <w:t>）</w:t>
      </w:r>
      <w:r>
        <w:rPr>
          <w:rFonts w:ascii="宋体" w:hAnsi="宋体" w:cs="宋体"/>
          <w:kern w:val="0"/>
          <w:sz w:val="22"/>
          <w:szCs w:val="22"/>
          <w:lang w:bidi="ar"/>
        </w:rPr>
        <w:t>★指标为必须响应指标，任意一项不满足要求即做废标处理；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2</w:t>
      </w:r>
      <w:r>
        <w:rPr>
          <w:rFonts w:hint="eastAsia" w:ascii="宋体" w:hAnsi="宋体" w:cs="宋体"/>
          <w:kern w:val="0"/>
          <w:sz w:val="22"/>
          <w:szCs w:val="22"/>
          <w:lang w:bidi="ar"/>
        </w:rPr>
        <w:t>）</w:t>
      </w:r>
      <w:r>
        <w:rPr>
          <w:rFonts w:ascii="宋体" w:hAnsi="宋体" w:cs="宋体"/>
          <w:kern w:val="0"/>
          <w:sz w:val="22"/>
          <w:szCs w:val="22"/>
          <w:lang w:bidi="ar"/>
        </w:rPr>
        <w:t>《采购需求表》备注已明确证明材料种类的，以所注内容或国家行政管理部门、专业检测机构出具的证明材料为准。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3</w:t>
      </w:r>
      <w:r>
        <w:rPr>
          <w:rFonts w:hint="eastAsia" w:ascii="宋体" w:hAnsi="宋体" w:cs="宋体"/>
          <w:kern w:val="0"/>
          <w:sz w:val="22"/>
          <w:szCs w:val="22"/>
          <w:lang w:bidi="ar"/>
        </w:rPr>
        <w:t>）</w:t>
      </w:r>
      <w:r>
        <w:rPr>
          <w:rFonts w:ascii="宋体" w:hAnsi="宋体" w:cs="宋体"/>
          <w:kern w:val="0"/>
          <w:sz w:val="22"/>
          <w:szCs w:val="22"/>
          <w:lang w:bidi="ar"/>
        </w:rPr>
        <w:t>★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黑体" w:hAnsi="黑体" w:eastAsia="宋体" w:cs="黑体"/>
          <w:b w:val="0"/>
          <w:color w:val="FF0000"/>
          <w:sz w:val="28"/>
          <w:szCs w:val="28"/>
        </w:rPr>
      </w:pPr>
      <w:r>
        <w:rPr>
          <w:rFonts w:hint="eastAsia" w:ascii="宋体" w:hAnsi="宋体" w:cs="宋体"/>
          <w:kern w:val="0"/>
          <w:sz w:val="22"/>
          <w:szCs w:val="22"/>
          <w:lang w:bidi="ar"/>
        </w:rPr>
        <w:t>（</w:t>
      </w:r>
      <w:r>
        <w:rPr>
          <w:rFonts w:ascii="宋体" w:hAnsi="宋体" w:cs="宋体"/>
          <w:kern w:val="0"/>
          <w:sz w:val="22"/>
          <w:szCs w:val="22"/>
          <w:lang w:bidi="ar"/>
        </w:rPr>
        <w:t>4</w:t>
      </w:r>
      <w:r>
        <w:rPr>
          <w:rFonts w:hint="eastAsia" w:ascii="宋体" w:hAnsi="宋体" w:cs="宋体"/>
          <w:kern w:val="0"/>
          <w:sz w:val="22"/>
          <w:szCs w:val="22"/>
          <w:lang w:bidi="ar"/>
        </w:rPr>
        <w:t>）</w:t>
      </w:r>
      <w:r>
        <w:rPr>
          <w:rFonts w:ascii="宋体" w:hAnsi="宋体" w:cs="宋体"/>
          <w:kern w:val="0"/>
          <w:sz w:val="22"/>
          <w:szCs w:val="22"/>
          <w:lang w:bidi="ar"/>
        </w:rPr>
        <w:t>无标识指标正偏离需参照上述要求提供技术支持材料，未提供的正偏离不予认可</w:t>
      </w:r>
      <w:r>
        <w:rPr>
          <w:rFonts w:hint="eastAsia" w:ascii="宋体" w:hAnsi="宋体" w:cs="宋体"/>
          <w:kern w:val="0"/>
          <w:sz w:val="22"/>
          <w:szCs w:val="22"/>
          <w:lang w:eastAsia="zh-CN" w:bidi="ar"/>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0F4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2025-08-25T09:18:43Z</dcterms:created>
  <dc:creator>admin</dc:creator>
  <cp:lastModifiedBy>admin</cp:lastModifiedBy>
  <dcterms:modified xsi:type="dcterms:W3CDTF">2025-08-25T09:19:27Z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