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bookmarkStart w:id="0" w:name="_Toc128151307"/>
      <w:bookmarkStart w:id="1" w:name="_Toc32238"/>
      <w:bookmarkStart w:id="2" w:name="_Toc624"/>
      <w:bookmarkStart w:id="3" w:name="_Toc20518"/>
      <w:bookmarkStart w:id="4" w:name="_Toc5753"/>
      <w:bookmarkStart w:id="5" w:name="_Toc19477"/>
      <w:bookmarkStart w:id="6" w:name="_Toc16726"/>
      <w:bookmarkStart w:id="7" w:name="_Toc112768493"/>
      <w:bookmarkStart w:id="8" w:name="_Toc31915"/>
      <w:bookmarkStart w:id="9" w:name="_Toc121476582"/>
      <w:bookmarkStart w:id="10" w:name="_Toc112681847"/>
      <w:bookmarkStart w:id="11" w:name="_Toc113349540"/>
      <w:bookmarkStart w:id="12" w:name="_Toc11433"/>
      <w:bookmarkStart w:id="13" w:name="_Toc6580"/>
      <w:bookmarkStart w:id="14" w:name="_Toc26860"/>
      <w:r>
        <w:rPr>
          <w:rFonts w:hint="eastAsia" w:eastAsia="黑体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黑体" w:hAnsi="黑体" w:cs="黑体"/>
          <w:sz w:val="28"/>
          <w:szCs w:val="28"/>
        </w:rPr>
        <w:t>（商务条款均为实质性响应条款，不接受负偏离）</w:t>
      </w:r>
      <w:bookmarkEnd w:id="12"/>
      <w:bookmarkEnd w:id="13"/>
      <w:bookmarkEnd w:id="14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422"/>
        <w:gridCol w:w="4923"/>
        <w:gridCol w:w="127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8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供应商应当保证采购单位在使用该物资或其任何一部分时，不受第三方侵权指控。同时，供应商不得向第三方泄露采购机构提供的技术文件等材料。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3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</w:p>
    <w:p>
      <w:pPr>
        <w:numPr>
          <w:ilvl w:val="0"/>
          <w:numId w:val="0"/>
        </w:numPr>
        <w:tabs>
          <w:tab w:val="left" w:pos="0"/>
          <w:tab w:val="left" w:pos="846"/>
          <w:tab w:val="left" w:pos="1122"/>
        </w:tabs>
        <w:spacing w:line="560" w:lineRule="exact"/>
        <w:ind w:firstLine="560" w:firstLineChars="200"/>
        <w:outlineLvl w:val="2"/>
        <w:rPr>
          <w:rFonts w:hint="eastAsia"/>
          <w:b w:val="0"/>
          <w:szCs w:val="44"/>
          <w:highlight w:val="none"/>
          <w:lang w:val="zh-CN"/>
        </w:rPr>
      </w:pPr>
      <w:bookmarkStart w:id="15" w:name="_Toc128151308"/>
      <w:bookmarkStart w:id="16" w:name="_Toc3987"/>
      <w:bookmarkStart w:id="17" w:name="_Toc20495"/>
      <w:bookmarkStart w:id="18" w:name="_Toc1394"/>
      <w:r>
        <w:rPr>
          <w:rFonts w:hint="eastAsia" w:eastAsia="黑体"/>
          <w:sz w:val="28"/>
          <w:szCs w:val="28"/>
          <w:lang w:eastAsia="zh-CN"/>
        </w:rPr>
        <w:t>二、</w:t>
      </w:r>
      <w:r>
        <w:rPr>
          <w:rFonts w:hint="eastAsia" w:eastAsia="黑体"/>
          <w:sz w:val="28"/>
          <w:szCs w:val="28"/>
        </w:rPr>
        <w:t>技术要求</w:t>
      </w:r>
      <w:bookmarkEnd w:id="15"/>
      <w:r>
        <w:rPr>
          <w:rFonts w:hint="eastAsia" w:asciiTheme="minorEastAsia" w:hAnsiTheme="minorEastAsia" w:eastAsiaTheme="minorEastAsia"/>
          <w:sz w:val="28"/>
          <w:szCs w:val="28"/>
        </w:rPr>
        <w:t>（单一来源采购项目所有指标均不接受负偏离，任意一项不满足要求按废标处理）</w:t>
      </w:r>
      <w:bookmarkEnd w:id="16"/>
      <w:bookmarkEnd w:id="17"/>
      <w:bookmarkEnd w:id="18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2"/>
        <w:gridCol w:w="565"/>
        <w:gridCol w:w="764"/>
        <w:gridCol w:w="766"/>
        <w:gridCol w:w="875"/>
        <w:gridCol w:w="1800"/>
        <w:gridCol w:w="1383"/>
        <w:gridCol w:w="560"/>
        <w:gridCol w:w="107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2024-JQ06-W1643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眼底固体多波长激光治疗机</w:t>
            </w: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最高限价（万元）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视网膜光凝在内的后节治疗，包括糖尿病视网膜病变、视网膜变性及裂孔、视网膜静脉阻塞等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具备NMPA（CFDA）认证，同时具备FDA或CE认证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激光类型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量子芯片激光腔和半导体泵浦倍频Nd YAG激光腔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绿光激光波长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530nm±10nm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黄光激光波长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575nm±10nm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红光激光波长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660nm±10nm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绿光激光功率范围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（50-1500）mW，连续可调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黄光激光功率范围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（50-1000）mW，连续可调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红光激光功率范围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（50-800）mW，连续可调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激光腔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egoe UI Symbol" w:hAnsi="Segoe UI Symbol" w:eastAsia="Segoe UI Symbol" w:cs="Segoe UI Symbo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Segoe UI Symbol" w:hAnsi="Segoe UI Symbol" w:eastAsia="Segoe UI Symbol" w:cs="Segoe UI Symbo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绿光、黄光、红光激光腔单独配置，内置在一体化主机中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脉冲时间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(0.01-3)s之间连续可调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脉冲间隔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(0.05-1)s之间连续可调，及单次输出模式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光斑尺寸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(50-1000）μm，可调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瞄准光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红色，亮度可调，（635—670）nm， 功率≤1mW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触摸操作屏幕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声音提示功能，激光波长转换，激光能量、脉冲时间、激光发射方式调节功能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光纤输出口装置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激光主机具备双光纤输出口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参数预设功能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锐亮技术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清澈高清滤光片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眼睛安全保护装置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遥控器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具备遥控激光发射功能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激光传输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可接裂隙灯，激光间接检眼镜，眼内探针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冷却系统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具备，一体化激光专用裂隙灯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放大倍数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5×、8×、14×、24×、36×，5档轮式，5级放大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光源类型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显微操纵器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无障碍升降台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4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激光主机1台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一体化激光专用裂隙灯1台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遥控器1个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标准脚闸1个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激光护目镜1个（1个黄绿光用，1个红光用）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13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</w:style>
  <w:style w:type="character" w:customStyle="1" w:styleId="6">
    <w:name w:val="font51"/>
    <w:basedOn w:val="5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2025-08-26T07:08:52Z</dcterms:created>
  <dc:creator>admin</dc:creator>
  <cp:lastModifiedBy>admin</cp:lastModifiedBy>
  <dcterms:modified xsi:type="dcterms:W3CDTF">2025-08-26T07:09:26Z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