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0" w:name="_Toc14060"/>
      <w:bookmarkStart w:id="1" w:name="_Toc128470294"/>
      <w:bookmarkStart w:id="2" w:name="_Toc9824"/>
      <w:bookmarkStart w:id="3" w:name="_Toc130888006"/>
      <w:bookmarkStart w:id="4" w:name="_Toc150421247"/>
      <w:bookmarkStart w:id="5" w:name="_Toc132186974"/>
      <w:bookmarkStart w:id="6" w:name="_Toc13168"/>
      <w:bookmarkStart w:id="7" w:name="_Toc22977"/>
      <w:bookmarkStart w:id="8" w:name="_Toc112681847"/>
      <w:bookmarkStart w:id="9" w:name="_Toc112768493"/>
      <w:bookmarkStart w:id="10" w:name="_Toc6602"/>
      <w:bookmarkStart w:id="11" w:name="_Toc128154367"/>
      <w:bookmarkStart w:id="12" w:name="_Toc132191258"/>
      <w:bookmarkStart w:id="13" w:name="_Toc22203"/>
      <w:bookmarkStart w:id="14" w:name="_Toc32238"/>
      <w:bookmarkStart w:id="15" w:name="_Toc285612596"/>
      <w:r>
        <w:rPr>
          <w:rFonts w:hint="eastAsia" w:ascii="黑体" w:hAnsi="黑体" w:cs="黑体"/>
          <w:b w:val="0"/>
          <w:sz w:val="28"/>
          <w:szCs w:val="28"/>
        </w:rPr>
        <w:t>一、商务要求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tbl>
      <w:tblPr>
        <w:tblStyle w:val="4"/>
        <w:tblW w:w="0" w:type="auto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0"/>
        <w:gridCol w:w="2040"/>
        <w:gridCol w:w="619"/>
        <w:gridCol w:w="4919"/>
        <w:gridCol w:w="1306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合同签订后3个月内交付，交付地点由甲方指定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签订合同付（预付）0%，物资到货（服务完成）验收后付95%。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验收合格后满1年无质量问题支付剩余5%（不超过5%）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提供不少于1人次、1天的工程师维修培训。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维修响应时间≤6小时，维修到达现场时间≤8小时。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保密要求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220" w:firstLineChars="10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基于项目合同履行形成的知识产权和其他权益，其权属归采购单位所有，法律另有规定的除外。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</w:tbl>
    <w:p/>
    <w:bookmarkEnd w:id="15"/>
    <w:p>
      <w:pPr>
        <w:pStyle w:val="3"/>
        <w:numPr>
          <w:ilvl w:val="0"/>
          <w:numId w:val="1"/>
        </w:numPr>
        <w:bidi w:val="0"/>
        <w:rPr>
          <w:rFonts w:hint="eastAsia"/>
          <w:b w:val="0"/>
          <w:bCs w:val="0"/>
        </w:rPr>
      </w:pPr>
      <w:bookmarkStart w:id="16" w:name="_Toc128151027"/>
      <w:bookmarkStart w:id="17" w:name="_Toc127820564"/>
      <w:bookmarkStart w:id="18" w:name="_Toc128150778"/>
      <w:bookmarkStart w:id="19" w:name="_Toc150418428"/>
      <w:bookmarkStart w:id="20" w:name="_Toc128150134"/>
      <w:bookmarkStart w:id="21" w:name="_Toc130887500"/>
      <w:bookmarkStart w:id="22" w:name="_Toc152057837"/>
      <w:bookmarkStart w:id="23" w:name="_Toc132190634"/>
      <w:bookmarkStart w:id="24" w:name="_Toc128397970"/>
      <w:bookmarkStart w:id="25" w:name="_Toc12772"/>
      <w:bookmarkStart w:id="26" w:name="_Toc27583"/>
      <w:r>
        <w:rPr>
          <w:rFonts w:hint="eastAsia"/>
          <w:b w:val="0"/>
          <w:bCs w:val="0"/>
        </w:rPr>
        <w:t>技术要求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tbl>
      <w:tblPr>
        <w:tblStyle w:val="4"/>
        <w:tblW w:w="9519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5"/>
        <w:gridCol w:w="1425"/>
        <w:gridCol w:w="915"/>
        <w:gridCol w:w="492"/>
        <w:gridCol w:w="1570"/>
        <w:gridCol w:w="1950"/>
        <w:gridCol w:w="606"/>
        <w:gridCol w:w="1806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951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编号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  <w:t>2025-JQ06-W3165</w:t>
            </w:r>
          </w:p>
        </w:tc>
        <w:tc>
          <w:tcPr>
            <w:tcW w:w="20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转运呼吸机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采购数量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0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预算单价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预算总价（万元）</w:t>
            </w:r>
          </w:p>
        </w:tc>
        <w:tc>
          <w:tcPr>
            <w:tcW w:w="1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0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量化</w:t>
            </w:r>
          </w:p>
        </w:tc>
        <w:tc>
          <w:tcPr>
            <w:tcW w:w="1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51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012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用于呼吸衰竭患者（成人、儿童）在转运过程中的通气支持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012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具备CFDA认证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医疗器械注册证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12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呼吸机类型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012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气动电控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通气模式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12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具备有创与无创多种呼吸通气模式： IPPV（VCV）、V-A/C、V-SIMV、PRVC、PCV 、P-A/C、P-SIMV、CPAP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CPR功能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12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心肺复苏指导和自动通气功能（单人/双人/持续三种模式）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一键通气功能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12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可快速设定儿童和成人模式，进入抢救状态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潮气量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4012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≥（30 ～ 2300）mL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1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3.6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PEEP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12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呼气末正压（PEEP）≥（3～30）cmH</w:t>
            </w:r>
            <w:r>
              <w:rPr>
                <w:rStyle w:val="6"/>
                <w:lang w:val="en-US" w:eastAsia="zh-CN" w:bidi="ar"/>
              </w:rPr>
              <w:t>2</w:t>
            </w:r>
            <w:r>
              <w:rPr>
                <w:rStyle w:val="7"/>
                <w:lang w:val="en-US" w:eastAsia="zh-CN" w:bidi="ar"/>
              </w:rPr>
              <w:t>O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18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3.7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呼吸频率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4012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1bpm～110bpm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1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氧浓度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12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调节范围≥（40～100）%连续可调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8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3.9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触发方式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4012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压力触发-20cmH</w:t>
            </w:r>
            <w:r>
              <w:rPr>
                <w:rStyle w:val="6"/>
                <w:lang w:val="en-US" w:eastAsia="zh-CN" w:bidi="ar"/>
              </w:rPr>
              <w:t>2</w:t>
            </w:r>
            <w:r>
              <w:rPr>
                <w:rStyle w:val="7"/>
                <w:lang w:val="en-US" w:eastAsia="zh-CN" w:bidi="ar"/>
              </w:rPr>
              <w:t>O～20cmH</w:t>
            </w:r>
            <w:r>
              <w:rPr>
                <w:rStyle w:val="6"/>
                <w:lang w:val="en-US" w:eastAsia="zh-CN" w:bidi="ar"/>
              </w:rPr>
              <w:t>2</w:t>
            </w:r>
            <w:r>
              <w:rPr>
                <w:rStyle w:val="7"/>
                <w:lang w:val="en-US" w:eastAsia="zh-CN" w:bidi="ar"/>
              </w:rPr>
              <w:t>O</w:t>
            </w:r>
            <w:r>
              <w:rPr>
                <w:rStyle w:val="7"/>
                <w:lang w:val="en-US" w:eastAsia="zh-CN" w:bidi="ar"/>
              </w:rPr>
              <w:br w:type="textWrapping"/>
            </w:r>
            <w:r>
              <w:rPr>
                <w:rStyle w:val="7"/>
                <w:lang w:val="en-US" w:eastAsia="zh-CN" w:bidi="ar"/>
              </w:rPr>
              <w:t>流速触发灵敏度2-15L/min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1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3.11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呼气触发灵敏度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12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5%～80%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8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3.12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二氧化碳监测功能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12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7"/>
                <w:lang w:val="en-US" w:eastAsia="zh-CN" w:bidi="ar"/>
              </w:rPr>
              <w:t>可升级内置呼吸末二氧化碳EtCO</w:t>
            </w:r>
            <w:r>
              <w:rPr>
                <w:rStyle w:val="6"/>
                <w:lang w:val="en-US" w:eastAsia="zh-CN" w:bidi="ar"/>
              </w:rPr>
              <w:t>2</w:t>
            </w:r>
            <w:r>
              <w:rPr>
                <w:rStyle w:val="7"/>
                <w:lang w:val="en-US" w:eastAsia="zh-CN" w:bidi="ar"/>
              </w:rPr>
              <w:t>监测功能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8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3.13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车载认证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4012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已通过国际EN1789救护车车载测试认证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彩页或者白皮书或认证报告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3.14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电池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12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内置可充电电池，标准状态下工作时间≥6小时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18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3.15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吸呼比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4012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59:1～1:90可调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1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3.16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显示屏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4012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具备≥6英寸彩色触摸屏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1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防水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2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至少IPX4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18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网络模块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352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可进行远程信息传输，实现远程监测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配置（单台/套）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352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转运呼吸机主机1台、氧气瓶1个、便携包1个、呼吸管路≥2套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8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</w:trPr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验收标准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352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按照投标文件、采购合同、质量标准等，组织对医疗设备进行质量验收，出具验收报告。验收过程中对于核心参数存疑需检测的，可委托地方具有相应检测能力的机构提供技术支持，检测费用由中标供应商提供。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8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51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采购实施建议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采购方式</w:t>
            </w:r>
          </w:p>
        </w:tc>
        <w:tc>
          <w:tcPr>
            <w:tcW w:w="64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□公开招标    □邀请招标    </w:t>
            </w:r>
            <w:r>
              <w:rPr>
                <w:rStyle w:val="8"/>
                <w:lang w:val="en-US" w:eastAsia="zh-CN" w:bidi="ar"/>
              </w:rPr>
              <w:t>☑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竞争性谈判    □单一来源     □询价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评审方法</w:t>
            </w:r>
          </w:p>
        </w:tc>
        <w:tc>
          <w:tcPr>
            <w:tcW w:w="64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lang w:val="en-US" w:eastAsia="zh-CN" w:bidi="ar"/>
              </w:rPr>
              <w:t>☑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综合评分法      □质量优先法      □经评审的最低价法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64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▲标识的指标负偏离≥4项，投标企业技术分值为0分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▲标识的指标和“无标识”指标负偏离≥9项，投标企业技术分值为0分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6" w:hRule="atLeast"/>
        </w:trPr>
        <w:tc>
          <w:tcPr>
            <w:tcW w:w="951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注：1.★指标为必须响应指标，任意一项不满足要求即做废标处理；</w:t>
            </w: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2.★及▲标识的指标，无法明确的默认由企业提供承诺；</w:t>
            </w: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3.经济要求不接受企业负偏离。</w:t>
            </w:r>
          </w:p>
        </w:tc>
      </w:tr>
    </w:tbl>
    <w:p>
      <w:pPr>
        <w:rPr>
          <w:rFonts w:hint="eastAsi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2"/>
          <w:szCs w:val="22"/>
          <w:lang w:bidi="ar"/>
        </w:rPr>
      </w:pPr>
      <w:r>
        <w:rPr>
          <w:rFonts w:ascii="宋体" w:hAnsi="宋体" w:cs="宋体"/>
          <w:kern w:val="0"/>
          <w:sz w:val="22"/>
          <w:szCs w:val="22"/>
          <w:lang w:bidi="ar"/>
        </w:rPr>
        <w:t xml:space="preserve">说明 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1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★指标为必须响应指标，任意一项不满足要求即做废标处理；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2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《采购需求表》备注已明确证明材料种类的，以所注内容或国家行政管理部门、专业检测机构出具的证明材料为准。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3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★标识指标及▲标识指标须提供技术支持材料，支持材料包括但不限于以下任意一种或几种：产品规格表、产品宣传彩页、技术白皮书、制造商官方网站发布的产品信息、说明书、检测机构出具的检测报告或生产厂家出具的证明文件等；对参数配置数量、定制产品或待开发软件等功能指标要求以供应商响应承诺为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2"/>
          <w:szCs w:val="22"/>
          <w:lang w:eastAsia="zh-CN"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4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无标识指标正偏离需参照上述要求提供技术支持材料，未提供的正偏离不予认可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。</w:t>
      </w:r>
    </w:p>
    <w:p>
      <w:bookmarkStart w:id="27" w:name="_GoBack"/>
      <w:bookmarkEnd w:id="2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3EFFDC"/>
    <w:multiLevelType w:val="singleLevel"/>
    <w:tmpl w:val="623EFFD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D76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6">
    <w:name w:val="font6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bscript"/>
    </w:rPr>
  </w:style>
  <w:style w:type="character" w:customStyle="1" w:styleId="7">
    <w:name w:val="font5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8">
    <w:name w:val="font71"/>
    <w:basedOn w:val="5"/>
    <w:qFormat/>
    <w:uiPriority w:val="0"/>
    <w:rPr>
      <w:rFonts w:ascii="Segoe UI Symbol" w:hAnsi="Segoe UI Symbol" w:eastAsia="Segoe UI Symbol" w:cs="Segoe UI Symbol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2025-08-27T07:36:24Z</dcterms:created>
  <dc:creator>admin</dc:creator>
  <cp:lastModifiedBy>admin</cp:lastModifiedBy>
  <dcterms:modified xsi:type="dcterms:W3CDTF">2025-08-27T07:38:49Z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