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9692"/>
      <w:bookmarkStart w:id="1" w:name="_Toc130661176"/>
      <w:bookmarkStart w:id="2" w:name="_Toc128154366"/>
      <w:bookmarkStart w:id="3" w:name="_Toc21632"/>
      <w:bookmarkStart w:id="4" w:name="_Toc32050"/>
      <w:bookmarkStart w:id="5" w:name="_Toc152058289"/>
      <w:bookmarkStart w:id="6" w:name="_Toc112317781"/>
      <w:bookmarkStart w:id="7" w:name="_Toc128470293"/>
      <w:bookmarkStart w:id="8" w:name="_Toc30564"/>
      <w:bookmarkStart w:id="9" w:name="_Toc150421246"/>
      <w:bookmarkStart w:id="10" w:name="_Toc28545"/>
      <w:bookmarkStart w:id="11" w:name="_Toc112768491"/>
      <w:bookmarkStart w:id="12" w:name="_Toc130888005"/>
      <w:bookmarkStart w:id="13" w:name="_Toc132191257"/>
      <w:bookmarkStart w:id="14" w:name="_Toc132186973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52058290"/>
      <w:bookmarkStart w:id="16" w:name="_Toc14060"/>
      <w:bookmarkStart w:id="17" w:name="_Toc132191258"/>
      <w:bookmarkStart w:id="18" w:name="_Toc22203"/>
      <w:bookmarkStart w:id="19" w:name="_Toc32238"/>
      <w:bookmarkStart w:id="20" w:name="_Toc128470294"/>
      <w:bookmarkStart w:id="21" w:name="_Toc150421247"/>
      <w:bookmarkStart w:id="22" w:name="_Toc132186974"/>
      <w:bookmarkStart w:id="23" w:name="_Toc130888006"/>
      <w:bookmarkStart w:id="24" w:name="_Toc112768493"/>
      <w:bookmarkStart w:id="25" w:name="_Toc128154367"/>
      <w:bookmarkStart w:id="26" w:name="_Toc13168"/>
      <w:bookmarkStart w:id="27" w:name="_Toc112681847"/>
      <w:bookmarkStart w:id="28" w:name="_Toc2297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，同时，报价供应商不得向第三方泄露采购机构提供的技术文件等材料，基于合同履行形成的知识产权和其他权益，其权属归采购单位所有，法律另有规定的除外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32190634"/>
      <w:bookmarkStart w:id="45" w:name="_Toc128150778"/>
      <w:bookmarkStart w:id="46" w:name="_Toc128397970"/>
      <w:bookmarkStart w:id="47" w:name="_Toc127820564"/>
      <w:bookmarkStart w:id="48" w:name="_Toc128151027"/>
      <w:bookmarkStart w:id="49" w:name="_Toc128150134"/>
      <w:bookmarkStart w:id="50" w:name="_Toc150418428"/>
      <w:bookmarkStart w:id="51" w:name="_Toc152057837"/>
      <w:bookmarkStart w:id="52" w:name="_Toc13088750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703"/>
        <w:gridCol w:w="849"/>
        <w:gridCol w:w="3980"/>
        <w:gridCol w:w="834"/>
        <w:gridCol w:w="1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54"/>
                <w:lang w:val="en-US" w:eastAsia="zh-CN" w:bidi="ar"/>
              </w:rPr>
              <w:t>适用于小儿气管、支气管及肺的观察、诊断、摄影或辅助治疗，</w:t>
            </w:r>
            <w:r>
              <w:rPr>
                <w:rStyle w:val="155"/>
                <w:lang w:val="en-US" w:eastAsia="zh-CN" w:bidi="ar"/>
              </w:rPr>
              <w:t>可匹配连接科室现有系统设备珠海视新QG3590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具备CFDA（NMPA）认证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具备FDA认证或CE认证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成像原理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电子成像技术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 - 100mm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软镜插入管外径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≤2.8mm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工作管道内径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≥1.2mm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有效工作长度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具备左右旋转关节，向左≥120°，向右≥120°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插入管软管前端弯曲角度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可自行添加向上弯曲≥180°，向下弯曲≥130°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手柄电子功能按键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≥2个功能按键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连接方式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采用航空插针非触点式连接方式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吸引阀座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吸引阀座一体式防脱设计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内置LED冷光源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操作部防水等级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IPX7，配备防水盖可进行全浸泡消毒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便携式纤维支气管镜（小儿）一套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  <w:bookmarkStart w:id="53" w:name="_GoBack"/>
      <w:bookmarkEnd w:id="5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14E50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D50ABE"/>
    <w:rsid w:val="4C001FDF"/>
    <w:rsid w:val="4DC42B98"/>
    <w:rsid w:val="4E0C2C07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7947</Words>
  <Characters>45301</Characters>
  <Lines>377</Lines>
  <Paragraphs>106</Paragraphs>
  <TotalTime>1</TotalTime>
  <ScaleCrop>false</ScaleCrop>
  <LinksUpToDate>false</LinksUpToDate>
  <CharactersWithSpaces>53142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2025-08-29T00:26:00Z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