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559" w:type="dxa"/>
        <w:tblInd w:w="0" w:type="dxa"/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717"/>
        <w:gridCol w:w="898"/>
        <w:gridCol w:w="1090"/>
        <w:gridCol w:w="1162"/>
        <w:gridCol w:w="2775"/>
        <w:gridCol w:w="1323"/>
        <w:gridCol w:w="1594"/>
      </w:tblGrid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765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eastAsia="zh-CN"/>
              </w:rPr>
              <w:t>项目名称</w:t>
            </w:r>
          </w:p>
        </w:tc>
        <w:tc>
          <w:tcPr>
            <w:tcW w:w="1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eastAsia="zh-CN"/>
              </w:rPr>
              <w:t>样本管理信息系统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eastAsia="zh-CN"/>
              </w:rPr>
              <w:t>项目编号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2025-JQ06-F3006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预算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25万元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765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需求名称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性质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需求具体内容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95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技术要求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jc w:val="both"/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0"/>
                <w:szCs w:val="20"/>
              </w:rPr>
            </w:pPr>
            <w:r>
              <w:rPr>
                <w:rFonts w:hAnsi="宋体" w:cs="黑体"/>
                <w:color w:val="auto"/>
                <w:sz w:val="20"/>
                <w:szCs w:val="20"/>
                <w:lang w:bidi="ar"/>
              </w:rPr>
              <w:t>基于临床微生物实验室国标与行标要求，用于检验科微生物标本从接收到报告全流程智能化管理，数据查询和统计分析，可与院内现有系统对接，能够实现微生物临床和科研样本的智能化管理。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提供证明材料：系统相关功能操作界面截图或软件说明书截图等。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技术指标1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智能样本登记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，智能拒收及让步接收规则，</w:t>
            </w:r>
            <w:r>
              <w:rPr>
                <w:rFonts w:hint="eastAsia" w:ascii="黑体" w:hAnsi="宋体" w:eastAsia="黑体" w:cs="黑体"/>
                <w:sz w:val="20"/>
              </w:rPr>
              <w:t>留档样本不合规记录。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提供证明材料：系统相关功能操作界面截图或软件说明书截图等。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技术指标2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智能匹配分离培养平皿种类，打印培养子条码、默认培养阴性结果。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提供证明材料：系统相关功能操作界面截图或软件说明书截图等。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技术指标3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可实现药敏加做、追加药敏计价收费等功能。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提供证明材料：系统相关功能操作界面截图或软件说明书截图等。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5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技术指标4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可进行血培养污染菌推断、报告结果自检、报告单药敏分级显示、结果互认。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提供证明材料：系统相关功能操作界面截图或软件说明书截图等。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技术指标5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可进行系统权限设置，用户权限设置，申请项与平皿、样本类型、阴性默认结果关系设置；样本号段设置、药敏折点、抗生素分组、分类、分级管理设置等。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提供证明材料：系统相关功能操作界面截图或软件说明书截图等。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技术指标6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具备</w:t>
            </w:r>
            <w:r>
              <w:rPr>
                <w:rFonts w:ascii="黑体" w:hAnsi="宋体" w:eastAsia="黑体" w:cs="黑体"/>
                <w:sz w:val="20"/>
              </w:rPr>
              <w:t>WHONET</w:t>
            </w:r>
            <w:r>
              <w:rPr>
                <w:rFonts w:hint="eastAsia" w:ascii="黑体" w:hAnsi="宋体" w:eastAsia="黑体" w:cs="黑体"/>
                <w:sz w:val="20"/>
              </w:rPr>
              <w:t>数据</w:t>
            </w:r>
            <w:r>
              <w:rPr>
                <w:rFonts w:ascii="黑体" w:hAnsi="宋体" w:eastAsia="黑体" w:cs="黑体"/>
                <w:sz w:val="20"/>
              </w:rPr>
              <w:t>导出</w:t>
            </w:r>
            <w:r>
              <w:rPr>
                <w:rFonts w:hint="eastAsia" w:ascii="黑体" w:hAnsi="宋体" w:eastAsia="黑体" w:cs="黑体"/>
                <w:sz w:val="20"/>
              </w:rPr>
              <w:t>功能，使用</w:t>
            </w:r>
            <w:r>
              <w:rPr>
                <w:rFonts w:ascii="黑体" w:hAnsi="宋体" w:eastAsia="黑体" w:cs="黑体"/>
                <w:sz w:val="20"/>
              </w:rPr>
              <w:t>WHONET小工具，各维度</w:t>
            </w:r>
            <w:r>
              <w:rPr>
                <w:rFonts w:hint="eastAsia" w:ascii="黑体" w:hAnsi="宋体" w:eastAsia="黑体" w:cs="黑体"/>
                <w:sz w:val="20"/>
              </w:rPr>
              <w:t>匹配</w:t>
            </w:r>
            <w:r>
              <w:rPr>
                <w:rFonts w:ascii="黑体" w:hAnsi="宋体" w:eastAsia="黑体" w:cs="黑体"/>
                <w:sz w:val="20"/>
              </w:rPr>
              <w:t>whonet</w:t>
            </w:r>
            <w:r>
              <w:rPr>
                <w:rFonts w:hint="eastAsia" w:ascii="黑体" w:hAnsi="宋体" w:eastAsia="黑体" w:cs="黑体"/>
                <w:sz w:val="20"/>
              </w:rPr>
              <w:t>编</w:t>
            </w:r>
            <w:r>
              <w:rPr>
                <w:rFonts w:ascii="黑体" w:hAnsi="宋体" w:eastAsia="黑体" w:cs="黑体"/>
                <w:sz w:val="20"/>
              </w:rPr>
              <w:t>码</w:t>
            </w:r>
            <w:r>
              <w:rPr>
                <w:rFonts w:hint="eastAsia" w:ascii="黑体" w:hAnsi="宋体" w:eastAsia="黑体" w:cs="黑体"/>
                <w:sz w:val="20"/>
              </w:rPr>
              <w:t>，可</w:t>
            </w:r>
            <w:r>
              <w:rPr>
                <w:rFonts w:ascii="黑体" w:hAnsi="宋体" w:eastAsia="黑体" w:cs="黑体"/>
                <w:sz w:val="20"/>
              </w:rPr>
              <w:t>在</w:t>
            </w:r>
            <w:r>
              <w:rPr>
                <w:rFonts w:hint="eastAsia" w:ascii="黑体" w:hAnsi="宋体" w:eastAsia="黑体" w:cs="黑体"/>
                <w:sz w:val="20"/>
              </w:rPr>
              <w:t>个人</w:t>
            </w:r>
            <w:r>
              <w:rPr>
                <w:rFonts w:ascii="黑体" w:hAnsi="宋体" w:eastAsia="黑体" w:cs="黑体"/>
                <w:sz w:val="20"/>
              </w:rPr>
              <w:t>电脑上</w:t>
            </w:r>
            <w:r>
              <w:rPr>
                <w:rFonts w:hint="eastAsia" w:ascii="黑体" w:hAnsi="宋体" w:eastAsia="黑体" w:cs="黑体"/>
                <w:sz w:val="20"/>
              </w:rPr>
              <w:t>运行</w:t>
            </w:r>
            <w:r>
              <w:rPr>
                <w:rFonts w:ascii="黑体" w:hAnsi="宋体" w:eastAsia="黑体" w:cs="黑体"/>
                <w:sz w:val="20"/>
              </w:rPr>
              <w:t>导出文件。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提供证明材料：系统相关功能操作界面截图或软件说明书截图等。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8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技术指标7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样本库管理系统：具备样本/菌株库管理功能，如出入库、传代记录信息等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提供证明材料：系统相关功能操作界面截图或软件说明书截图等。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技术指标8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信息查询：可快速检索样本库标本位置和关联的临床信息。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提供证明材料：系统相关功能操作界面截图或软件说明书截图等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10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技术指标9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统计分析：可进行病源菌分布和耐药率的统计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提供证明材料：系统相关功能操作界面截图或软件说明书截图等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11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技术指标10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可与医院HIS系统做接口，数据结果及备注等附加信息均可准确传输至HIS端。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12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配置名称1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（服务点位）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不低于15个工作站（软件终端）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13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配置名称2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（服务人员）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在京系统日常维护人员1人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14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数据管理技术要求1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sz w:val="20"/>
              </w:rPr>
              <w:t>交付数据库管理员用户密码需交付信息科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15.1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数据管理技术要求2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sz w:val="20"/>
              </w:rPr>
              <w:t>交付数据备份机制、数据重建机制需至信息科审核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15.2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数据管理技术要求3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sz w:val="20"/>
              </w:rPr>
              <w:t>按院方要求配合将数据库纳入院方容灾平台、离线备份平台、数据库监控平台、数据资源体系平台；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15.3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数据管理技术要求4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sz w:val="20"/>
              </w:rPr>
              <w:t>系统上线后，交付相关相关数据库表字段的说明性文件至信息科，要求内容必须全覆盖系统界面上所涉及各类数据项，并随系统升级及时更新交付；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15.4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数据管理技术要求5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sz w:val="20"/>
              </w:rPr>
              <w:t>所有存有院方数据的存储介质不予返还；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15.5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数据管理技术要求6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</w:rPr>
              <w:t>数据库运维人员需在信息科报备，签署相关保密协议，并纳入信息科数管统一管理；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15.6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数据管理技术要求</w:t>
            </w:r>
            <w:r>
              <w:rPr>
                <w:rFonts w:hint="eastAsia" w:ascii="黑体" w:hAnsi="黑体" w:eastAsia="黑体"/>
                <w:color w:val="000000"/>
                <w:sz w:val="20"/>
                <w:lang w:val="en-US" w:eastAsia="zh-CN"/>
              </w:rPr>
              <w:t>7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质保期内根据院方要求提供相关国产化适配服务，无需另行收费。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jc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16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验收标准方法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按照投标文件、采购合同进行质量验收，验收前须提交第三方软件测评报告。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95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yellow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</w:rPr>
              <w:t>经济要求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eastAsia="zh-CN"/>
              </w:rPr>
              <w:t>（不接受负偏离）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合同签订后6个月内交付，交付地点由甲方指定。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72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  <w:lang w:bidi="ar"/>
              </w:rPr>
              <w:t>2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 w:cs="黑体"/>
                <w:color w:val="auto"/>
                <w:sz w:val="20"/>
                <w:szCs w:val="20"/>
                <w:lang w:bidi="ar"/>
              </w:rPr>
              <w:t>软件安装完毕付款30%，验收完成后付款70%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履约保证金、质量保证金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黑体"/>
                <w:color w:val="auto"/>
                <w:sz w:val="20"/>
                <w:szCs w:val="20"/>
                <w:lang w:val="en-US" w:eastAsia="zh-CN" w:bidi="ar"/>
              </w:rPr>
              <w:t>合同签署前企业需缴纳3%履约保证金，履约完成无异议后自动转为质量保证金，并于质保期满后无质量问题无息退还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sz w:val="20"/>
              </w:rPr>
              <w:t>验收完成后开始起算质保期，质保期3年，全年故障停机时间不高于1%（按365日/年计算)。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  <w:lang w:bidi="ar"/>
              </w:rPr>
              <w:t>原厂授权</w:t>
            </w: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  <w:lang w:eastAsia="zh-CN" w:bidi="ar"/>
              </w:rPr>
              <w:t>或</w:t>
            </w: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sz w:val="20"/>
              </w:rPr>
              <w:t>质保期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内免费提供定期维护保养服务，免费升级和维护软件，免费提供使用培训。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提供不少于1人次、2天的工程师维修培训。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7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5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7*24小时电话响应，故障响应时间≤2小时、出现场时间≤4小时、故障解决时间≤24小时</w:t>
            </w:r>
          </w:p>
        </w:tc>
        <w:tc>
          <w:tcPr>
            <w:tcW w:w="1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" w:hRule="atLeast"/>
        </w:trPr>
        <w:tc>
          <w:tcPr>
            <w:tcW w:w="95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Cs/>
                <w:kern w:val="0"/>
                <w:sz w:val="21"/>
                <w:szCs w:val="21"/>
              </w:rPr>
              <w:t>说明：1.加注“★”的指标为关键指标，任意一项不满足要求即做废标处理；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Cs/>
                <w:kern w:val="0"/>
                <w:sz w:val="21"/>
                <w:szCs w:val="21"/>
              </w:rPr>
              <w:t>2.加注“★”及“▲”标识的指标均需投标企业提供证明材料，证明材料为“企业承诺”的，在技术商务指标参数响应偏离表中的响应可视为承诺；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Cs/>
                <w:kern w:val="0"/>
                <w:sz w:val="21"/>
                <w:szCs w:val="21"/>
              </w:rPr>
              <w:t>3.经济要求不接受负偏离。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8803C3"/>
    <w:rsid w:val="3ECA2977"/>
    <w:rsid w:val="438803C3"/>
    <w:rsid w:val="5106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2025-04-29T09:07:00Z</dcterms:created>
  <dc:creator>administrator</dc:creator>
  <cp:lastModifiedBy>administrator</cp:lastModifiedBy>
  <dcterms:modified xsi:type="dcterms:W3CDTF">2025-09-04T11:48:08Z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