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559" w:type="dxa"/>
        <w:tblInd w:w="0" w:type="dxa"/>
        <w:tblLayout w:type="fixed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717"/>
        <w:gridCol w:w="898"/>
        <w:gridCol w:w="1090"/>
        <w:gridCol w:w="1162"/>
        <w:gridCol w:w="2775"/>
        <w:gridCol w:w="1323"/>
        <w:gridCol w:w="1594"/>
      </w:tblGrid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765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  <w:lang w:eastAsia="zh-CN"/>
              </w:rPr>
              <w:t>项目名称</w:t>
            </w:r>
          </w:p>
        </w:tc>
        <w:tc>
          <w:tcPr>
            <w:tcW w:w="19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  <w:lang w:eastAsia="zh-CN"/>
              </w:rPr>
              <w:t>PET/CT肿瘤数据AI处理与分析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  <w:lang w:eastAsia="zh-CN"/>
              </w:rPr>
              <w:t>项目编号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2025-JQ06-F3064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预算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48万元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765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序号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需求名称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性质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需求具体内容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95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  <w:lang w:eastAsia="zh-CN"/>
              </w:rPr>
              <w:t>商务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要求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bidi w:val="0"/>
              <w:snapToGrid/>
              <w:spacing w:line="320" w:lineRule="exact"/>
              <w:ind w:left="103" w:leftChars="0" w:firstLine="0" w:firstLineChars="0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cs="黑体"/>
                <w:szCs w:val="21"/>
                <w:lang w:bidi="ar"/>
              </w:rPr>
              <w:t>交货时间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合同签订后1个月内完成本地化部署版本安装，2个月内完成整体项目交付。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cs="黑体"/>
                <w:iCs/>
                <w:szCs w:val="21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bidi w:val="0"/>
              <w:snapToGrid/>
              <w:spacing w:line="320" w:lineRule="exact"/>
              <w:ind w:left="103" w:leftChars="0" w:firstLine="0" w:firstLineChars="0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黑体"/>
                <w:szCs w:val="21"/>
                <w:lang w:bidi="ar"/>
              </w:rPr>
              <w:t>交货地点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北京市海淀区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cs="黑体"/>
                <w:iCs/>
                <w:szCs w:val="21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bidi w:val="0"/>
              <w:snapToGrid/>
              <w:spacing w:line="320" w:lineRule="exact"/>
              <w:ind w:left="103" w:leftChars="0" w:firstLine="0" w:firstLineChars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黑体"/>
                <w:szCs w:val="21"/>
                <w:lang w:bidi="ar"/>
              </w:rPr>
              <w:t>付款及结算方式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硬件设备到货且软件安装后付款85%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 w:bidi="ar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系统稳定运行且验收合格后支付15%。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cs="黑体"/>
                <w:iCs/>
                <w:szCs w:val="21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bidi w:val="0"/>
              <w:snapToGrid/>
              <w:spacing w:line="320" w:lineRule="exact"/>
              <w:ind w:left="103" w:leftChars="0" w:firstLine="0" w:firstLineChars="0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黑体"/>
                <w:szCs w:val="21"/>
                <w:lang w:bidi="ar"/>
              </w:rPr>
              <w:t>免费质保期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硬件≥3年，软件≥2年，全年故障停机时间不高于5%（按365日/年计算）。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cs="黑体"/>
                <w:iCs/>
                <w:szCs w:val="21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bidi w:val="0"/>
              <w:snapToGrid/>
              <w:spacing w:line="320" w:lineRule="exact"/>
              <w:ind w:left="103" w:leftChars="0" w:firstLine="0" w:firstLineChars="0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5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黑体"/>
                <w:szCs w:val="21"/>
                <w:lang w:bidi="ar"/>
              </w:rPr>
              <w:t>质保期服务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cs="黑体"/>
                <w:iCs/>
                <w:szCs w:val="21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bidi w:val="0"/>
              <w:snapToGrid/>
              <w:spacing w:line="320" w:lineRule="exact"/>
              <w:ind w:left="103" w:leftChars="0" w:firstLine="0" w:firstLineChars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6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黑体"/>
                <w:szCs w:val="21"/>
                <w:lang w:bidi="ar"/>
              </w:rPr>
              <w:t>维护更新服务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定期维护更新，按照维护要求，质保期内提供每年≥5次的免费巡检服务并提供巡检报告。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cs="黑体"/>
                <w:iCs/>
                <w:szCs w:val="21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bidi w:val="0"/>
              <w:snapToGrid/>
              <w:spacing w:line="320" w:lineRule="exact"/>
              <w:ind w:left="103" w:leftChars="0" w:firstLine="0" w:firstLineChars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7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黑体"/>
                <w:szCs w:val="21"/>
                <w:lang w:bidi="ar"/>
              </w:rPr>
              <w:t>售后响应服务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维修响应时间≤30分钟，到达现场时间（必要时）≤2小时，解决问题时间≤4小时。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cs="黑体"/>
                <w:iCs/>
                <w:szCs w:val="21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bidi w:val="0"/>
              <w:snapToGrid/>
              <w:spacing w:line="320" w:lineRule="exact"/>
              <w:ind w:left="103" w:leftChars="0" w:firstLine="0" w:firstLineChars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8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黑体"/>
                <w:szCs w:val="21"/>
                <w:lang w:bidi="ar"/>
              </w:rPr>
              <w:t>驻场服务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系统实施部署期间驻地工程师≥1人。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cs="黑体"/>
                <w:iCs/>
                <w:szCs w:val="21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bidi w:val="0"/>
              <w:snapToGrid/>
              <w:spacing w:line="320" w:lineRule="exact"/>
              <w:ind w:left="103" w:leftChars="0" w:firstLine="0" w:firstLineChars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黑体"/>
                <w:szCs w:val="21"/>
                <w:lang w:bidi="ar"/>
              </w:rPr>
              <w:t>数据安全与保护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按照保密要求，数据不能出院区，质保期内如发生硬盘等存储介质故障，厂家免费换新，医院不退还旧硬盘。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cs="黑体"/>
                <w:iCs/>
                <w:szCs w:val="21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bidi w:val="0"/>
              <w:snapToGrid/>
              <w:spacing w:line="320" w:lineRule="exact"/>
              <w:ind w:left="103" w:leftChars="0" w:firstLine="0" w:firstLineChars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10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黑体"/>
                <w:szCs w:val="21"/>
                <w:lang w:bidi="ar"/>
              </w:rPr>
              <w:t>物资编目编码、打码贴签要求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cs="黑体"/>
                <w:iCs/>
                <w:szCs w:val="21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bidi w:val="0"/>
              <w:snapToGrid/>
              <w:spacing w:line="320" w:lineRule="exact"/>
              <w:ind w:left="103" w:leftChars="0" w:firstLine="0" w:firstLineChars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黑体"/>
                <w:szCs w:val="21"/>
                <w:lang w:bidi="ar"/>
              </w:rPr>
              <w:t>知识产权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报价供应商应当保证采购单位在使用该物资或其任何一部分时，不受第三方侵权指控。同时，报价供应商不得向第三方泄露采购机构提供的技术文件等材料。基于项目合同履行形成的知识产权和其他权益，其权属归采购单位所有，法律另有规定的除外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cs="黑体"/>
                <w:iCs/>
                <w:szCs w:val="21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91" w:hRule="atLeast"/>
        </w:trPr>
        <w:tc>
          <w:tcPr>
            <w:tcW w:w="95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szCs w:val="28"/>
                <w:lang w:val="en-US" w:eastAsia="zh-CN" w:bidi="ar"/>
              </w:rPr>
              <w:t>技术要求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基本要求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国产品牌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bidi="ar"/>
              </w:rPr>
              <w:t>2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配置名称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</w:pP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核医学科影像处理系统，该系统包含包括实现PET-CT图像数据配准融合的软件及硬件设备,配置如下：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软件系统：核医学影像处理软件1套。硬件设备：算力服务器1台。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技术指标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</w:pP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提供多种预设挂片布局并支持自定义挂片，协助医生多维度观察病灶；实现跨模态影像配准融合，最大程度发挥PET和CT多模态阅片的价值；高亮显示病灶，并对病灶进行定性定量分析；自动测算SUVmax、SUVpeak、Area、MTV和TLG等参数，帮助医生快速完成PET/CT的诊断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实施能力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▲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投标供应商或生产厂商实施人员至少1人具备PMP认证证书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提供证书复印件以及近一年任意6个月社保证明材料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95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核医学影像处理软件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84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cs="黑体"/>
                <w:szCs w:val="21"/>
                <w:lang w:bidi="ar"/>
              </w:rPr>
              <w:t>软件功能要求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5.1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开发的软件默认挂片布局并自动进行序列加载及挂片显示，默认布局包括：二维布局（2D）、三维布局（3D）、融合布局（fusion）三种默认挂片布局进行自动挂片，用户可以一键切换挂片布局，并查看相应的重建图像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</w:pP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开发PET/CT自动配准融合显示，自动生成伪彩渲染的PET/CT融合图像；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/>
                <w:color w:val="000000"/>
                <w:sz w:val="20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黑体" w:eastAsia="黑体"/>
                <w:color w:val="000000"/>
                <w:sz w:val="20"/>
              </w:rPr>
            </w:pP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开发在轴/冠/矢三个体位的PET和CT的MPR图像配准的自定义调整，支持手动调节融合图像的融合比例；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5.4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自动计算病灶三径，长径、短径、高，可配置病灶显示长短径或长短高三径；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72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5.5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开发提供SUVbw、SUVlbm、SUVbsa，共3种SUV值；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5.6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开发支持自动计算病灶代谢信息，TMTV、TTLG、sTMTV、sTTLG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5.7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开发CT模态下全自动病灶检出及量化分析，支持检出CT肝囊肿、CT肝肿瘤病灶；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5.8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开发提供PET模态下全自动异常高代谢检出及量化分析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5.9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开发支持输出≥200种病灶定位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5.10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开发支持支持输出≥30种病灶CT影像表现；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5.11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开发提供PET生理性异常高摄取病灶、良性病灶、恶性病灶的分类；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5.12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开发自动匹配CT序列上检出的病灶和PET序列上检出的高代谢浓聚灶；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5.13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支持提供自动定位功能，将配准后的病灶检出结果进行自动定位，并基于器官分割的结果进行聚类，显示在病灶列表中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5.14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▲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支持自动肋骨和椎骨标记功能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提供软件功能截图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5.15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支持对PET图像、CT图像的病灶进行方框勾画，基于方框范围自动分割病灶VOI，自动输出病灶定位，并自动计算PET病灶的SUV max，SUV mean，SUV peak，Area，MTV和TLG等量化指标，自动计算CT病灶的大小、、HU值等量化指标；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5.16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 xml:space="preserve">支持手动测量长度、椭圆、3D球体、多层椭圆，并计算SUV值和CT值等量化指标； 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5.17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▲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支持全自动肝脏参考SUV相关指标测量，支持手动测量；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提供软件功能截图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5.18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支持全自动纵隔参考SUV相关指标测量，支持手动测量；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5.19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自动配准并融合肺脏CT与PET图像，自动检出CT肺结节病灶，包括肺结节的长短高三径、密度、征象、PET的SUV max，肺结节可定位至具体肺段；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5.20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支持设置病灶检出灵敏度、病灶大小、IM号进行排序；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5.21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▲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开发手动截图工具，支持医生手动截图，并且能够根据医生截图的肺结节自动进行截图描述，自动加载肺结节病灶的部位、大小及SUV等测量结果；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提供软件功能截图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5.22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▲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支持进行随访对比阅片、延迟对比阅片、双示踪剂对比阅片，自动调阅当前检查与历史检查；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提供软件功能截图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5.23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自动对2个时间点影像进行图像配准、器官分割、病灶检出、病灶聚类定位、病灶分割、病灶配准，并进行病灶量化分析；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提供软件功能截图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5.24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开发智能截图工具，根据医生截取的目标病灶自动进行截图描述，包括病灶的部位、大小及SUV等测量结果；并将描述内容自动加载到报告文本中；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884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cs="黑体"/>
                <w:szCs w:val="21"/>
                <w:lang w:bidi="ar"/>
              </w:rPr>
              <w:t>硬件设备要求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6.1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szCs w:val="21"/>
              </w:rPr>
              <w:t>服务器1台</w:t>
            </w:r>
            <w:r>
              <w:rPr>
                <w:rFonts w:hint="eastAsia" w:asciiTheme="minorEastAsia" w:hAnsiTheme="minorEastAsia" w:eastAsiaTheme="minorEastAsia" w:cstheme="minorEastAsia"/>
                <w:iCs/>
                <w:szCs w:val="21"/>
                <w:lang w:eastAsia="zh-CN"/>
              </w:rPr>
              <w:t>；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6.2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szCs w:val="21"/>
              </w:rPr>
              <w:t>机架：可上机架式服务器；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szCs w:val="21"/>
              </w:rPr>
              <w:t>CPU：配置≥2个Intel Xeon处理器，单颗≥10C20T，≥2.2GHz；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6.4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szCs w:val="21"/>
              </w:rPr>
              <w:t>内存：≥128GB，DDR4内存；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6.5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szCs w:val="21"/>
              </w:rPr>
              <w:t>硬盘：配置1个SSD系统盘，容量≥1.2TB；配置3个HDD数据盘，单个容量≥8TB；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6.6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szCs w:val="21"/>
              </w:rPr>
              <w:t>GPU：配置≥4块NVIDIA RTX A4000卡；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95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Cs/>
                <w:kern w:val="0"/>
                <w:sz w:val="21"/>
                <w:szCs w:val="21"/>
              </w:rPr>
              <w:t>说明：1.加注“★”的指标为关键指标，任意一项不满足要求即做废标处理；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Cs/>
                <w:kern w:val="0"/>
                <w:sz w:val="21"/>
                <w:szCs w:val="21"/>
              </w:rPr>
              <w:t>2.加注“★”及“▲”标识的指标均需投标企业提供证明材料，证明材料为“企业承诺”的，在技术商务指标参数响应偏离表中的响应可视为承诺；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Cs/>
                <w:kern w:val="0"/>
                <w:sz w:val="21"/>
                <w:szCs w:val="21"/>
              </w:rPr>
              <w:t>3.经济要求不接受负偏离。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8803C3"/>
    <w:rsid w:val="000408E1"/>
    <w:rsid w:val="3ECA2977"/>
    <w:rsid w:val="438803C3"/>
    <w:rsid w:val="5106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3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2025-04-29T09:07:00Z</dcterms:created>
  <dc:creator>administrator</dc:creator>
  <cp:lastModifiedBy>administrator</cp:lastModifiedBy>
  <dcterms:modified xsi:type="dcterms:W3CDTF">2025-09-04T12:13:49Z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