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adjustRightInd w:val="0"/>
        <w:snapToGrid w:val="0"/>
        <w:spacing w:line="560" w:lineRule="exact"/>
        <w:jc w:val="center"/>
        <w:rPr>
          <w:b w:val="0"/>
          <w:color w:val="auto"/>
          <w:szCs w:val="44"/>
          <w:lang w:val="zh-CN"/>
        </w:rPr>
      </w:pPr>
      <w:bookmarkStart w:id="0" w:name="_Toc132186973"/>
      <w:bookmarkStart w:id="1" w:name="_Toc21632"/>
      <w:bookmarkStart w:id="2" w:name="_Toc32050"/>
      <w:bookmarkStart w:id="3" w:name="_Toc130661176"/>
      <w:bookmarkStart w:id="4" w:name="_Toc112317781"/>
      <w:bookmarkStart w:id="5" w:name="_Toc112768491"/>
      <w:bookmarkStart w:id="6" w:name="_Toc9692"/>
      <w:bookmarkStart w:id="7" w:name="_Toc128470293"/>
      <w:bookmarkStart w:id="8" w:name="_Toc128154366"/>
      <w:bookmarkStart w:id="9" w:name="_Toc28545"/>
      <w:bookmarkStart w:id="10" w:name="_Toc152058289"/>
      <w:bookmarkStart w:id="11" w:name="_Toc30564"/>
      <w:bookmarkStart w:id="12" w:name="_Toc150421246"/>
      <w:bookmarkStart w:id="13" w:name="_Toc132191257"/>
      <w:bookmarkStart w:id="14" w:name="_Toc130888005"/>
      <w:r>
        <w:rPr>
          <w:rFonts w:hint="eastAsia"/>
          <w:b w:val="0"/>
          <w:color w:val="auto"/>
          <w:szCs w:val="44"/>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pPr>
        <w:pStyle w:val="5"/>
        <w:spacing w:before="0" w:after="0" w:line="560" w:lineRule="exact"/>
        <w:ind w:firstLine="560" w:firstLineChars="200"/>
        <w:rPr>
          <w:rFonts w:ascii="黑体" w:hAnsi="黑体" w:cs="黑体"/>
          <w:b w:val="0"/>
          <w:color w:val="auto"/>
          <w:sz w:val="28"/>
          <w:szCs w:val="28"/>
        </w:rPr>
      </w:pPr>
      <w:bookmarkStart w:id="15" w:name="_Toc22203"/>
      <w:bookmarkStart w:id="16" w:name="_Toc112768493"/>
      <w:bookmarkStart w:id="17" w:name="_Toc130888006"/>
      <w:bookmarkStart w:id="18" w:name="_Toc13168"/>
      <w:bookmarkStart w:id="19" w:name="_Toc132186974"/>
      <w:bookmarkStart w:id="20" w:name="_Toc22977"/>
      <w:bookmarkStart w:id="21" w:name="_Toc128154367"/>
      <w:bookmarkStart w:id="22" w:name="_Toc128470294"/>
      <w:bookmarkStart w:id="23" w:name="_Toc132191258"/>
      <w:bookmarkStart w:id="24" w:name="_Toc112681847"/>
      <w:bookmarkStart w:id="25" w:name="_Toc150421247"/>
      <w:bookmarkStart w:id="26" w:name="_Toc152058290"/>
      <w:bookmarkStart w:id="27" w:name="_Toc32238"/>
      <w:bookmarkStart w:id="28" w:name="_Toc14060"/>
      <w:bookmarkStart w:id="29" w:name="_Toc285612596"/>
      <w:r>
        <w:rPr>
          <w:rFonts w:hint="eastAsia" w:ascii="黑体" w:hAnsi="黑体" w:cs="黑体"/>
          <w:b w:val="0"/>
          <w:color w:val="auto"/>
          <w:sz w:val="28"/>
          <w:szCs w:val="28"/>
        </w:rPr>
        <w:t>一、商务要求</w:t>
      </w:r>
      <w:bookmarkEnd w:id="15"/>
      <w:bookmarkEnd w:id="16"/>
      <w:bookmarkEnd w:id="17"/>
      <w:bookmarkEnd w:id="18"/>
      <w:bookmarkEnd w:id="19"/>
      <w:bookmarkEnd w:id="20"/>
      <w:bookmarkEnd w:id="21"/>
      <w:bookmarkEnd w:id="22"/>
      <w:bookmarkEnd w:id="23"/>
      <w:bookmarkEnd w:id="24"/>
      <w:bookmarkEnd w:id="25"/>
      <w:bookmarkEnd w:id="26"/>
      <w:bookmarkEnd w:id="27"/>
      <w:bookmarkEnd w:id="28"/>
    </w:p>
    <w:tbl>
      <w:tblPr>
        <w:tblStyle w:val="42"/>
        <w:tblW w:w="8731" w:type="dxa"/>
        <w:tblInd w:w="0" w:type="dxa"/>
        <w:tblLayout w:type="fixed"/>
        <w:tblCellMar>
          <w:top w:w="0" w:type="dxa"/>
          <w:left w:w="0" w:type="dxa"/>
          <w:bottom w:w="0" w:type="dxa"/>
          <w:right w:w="0" w:type="dxa"/>
        </w:tblCellMar>
      </w:tblPr>
      <w:tblGrid>
        <w:gridCol w:w="606"/>
        <w:gridCol w:w="1962"/>
        <w:gridCol w:w="588"/>
        <w:gridCol w:w="4225"/>
        <w:gridCol w:w="1350"/>
      </w:tblGrid>
      <w:tr>
        <w:tblPrEx>
          <w:tblCellMar>
            <w:top w:w="0" w:type="dxa"/>
            <w:left w:w="0" w:type="dxa"/>
            <w:bottom w:w="0" w:type="dxa"/>
            <w:right w:w="0" w:type="dxa"/>
          </w:tblCellMar>
        </w:tblPrEx>
        <w:trPr>
          <w:trHeight w:val="270" w:hRule="atLeast"/>
        </w:trPr>
        <w:tc>
          <w:tcPr>
            <w:tcW w:w="60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bookmarkStart w:id="30" w:name="_Toc17172"/>
            <w:bookmarkStart w:id="31" w:name="_Toc112768494"/>
            <w:bookmarkStart w:id="32" w:name="_Toc27977"/>
            <w:bookmarkStart w:id="33" w:name="_Toc31554"/>
            <w:bookmarkStart w:id="34" w:name="_Toc7226"/>
            <w:bookmarkStart w:id="35" w:name="_Toc2550"/>
            <w:bookmarkStart w:id="36" w:name="_Toc130661177"/>
            <w:bookmarkStart w:id="37" w:name="_Toc150421249"/>
            <w:bookmarkStart w:id="38" w:name="_Toc128470296"/>
            <w:bookmarkStart w:id="39" w:name="_Toc130888008"/>
            <w:bookmarkStart w:id="40" w:name="_Toc132191260"/>
            <w:bookmarkStart w:id="41" w:name="_Toc152058292"/>
            <w:bookmarkStart w:id="42" w:name="_Toc132186976"/>
            <w:bookmarkStart w:id="43" w:name="_Toc128154369"/>
            <w:r>
              <w:rPr>
                <w:rFonts w:hint="eastAsia" w:ascii="黑体" w:hAnsi="宋体" w:eastAsia="黑体" w:cs="黑体"/>
                <w:i w:val="0"/>
                <w:iCs w:val="0"/>
                <w:color w:val="000000"/>
                <w:kern w:val="0"/>
                <w:sz w:val="20"/>
                <w:szCs w:val="20"/>
                <w:u w:val="none"/>
                <w:lang w:val="en-US" w:eastAsia="zh-CN" w:bidi="ar"/>
              </w:rPr>
              <w:t>序号</w:t>
            </w:r>
          </w:p>
        </w:tc>
        <w:tc>
          <w:tcPr>
            <w:tcW w:w="19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需求名称</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参数</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性质</w:t>
            </w:r>
          </w:p>
        </w:tc>
        <w:tc>
          <w:tcPr>
            <w:tcW w:w="4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需求具体内容</w:t>
            </w:r>
          </w:p>
        </w:tc>
        <w:tc>
          <w:tcPr>
            <w:tcW w:w="1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备注</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（证明材料等其他要求）</w:t>
            </w:r>
          </w:p>
        </w:tc>
      </w:tr>
      <w:bookmarkEnd w:id="29"/>
      <w:tr>
        <w:tblPrEx>
          <w:tblCellMar>
            <w:top w:w="0" w:type="dxa"/>
            <w:left w:w="0" w:type="dxa"/>
            <w:bottom w:w="0" w:type="dxa"/>
            <w:right w:w="0" w:type="dxa"/>
          </w:tblCellMar>
        </w:tblPrEx>
        <w:trPr>
          <w:trHeight w:val="270" w:hRule="atLeast"/>
        </w:trPr>
        <w:tc>
          <w:tcPr>
            <w:tcW w:w="60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19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交货时间、交货地点</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合同签订后3个月内交付，交付地点由甲方指定。</w:t>
            </w:r>
          </w:p>
        </w:tc>
        <w:tc>
          <w:tcPr>
            <w:tcW w:w="1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270" w:hRule="atLeast"/>
        </w:trPr>
        <w:tc>
          <w:tcPr>
            <w:tcW w:w="60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1962"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付款及结算方式</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合同签订后，货物验收合格后6个月内结清全部货款</w:t>
            </w:r>
          </w:p>
        </w:tc>
        <w:tc>
          <w:tcPr>
            <w:tcW w:w="1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270" w:hRule="atLeast"/>
        </w:trPr>
        <w:tc>
          <w:tcPr>
            <w:tcW w:w="60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196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履约保证金/质量保证金</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在结清货款前，中标供应商根据医院合同执行部门出具的质保金缴纳凭证，向医院财务部门交纳合同总金额5%作为质量保证金，质保期满后无息退还质量保证金</w:t>
            </w:r>
          </w:p>
        </w:tc>
        <w:tc>
          <w:tcPr>
            <w:tcW w:w="1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270" w:hRule="atLeast"/>
        </w:trPr>
        <w:tc>
          <w:tcPr>
            <w:tcW w:w="60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196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产品包装和运输要求</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按照国家、行业相关标准规范，产品确保包装完好，运输确保不对产品造成损伤。</w:t>
            </w:r>
          </w:p>
        </w:tc>
        <w:tc>
          <w:tcPr>
            <w:tcW w:w="1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810" w:hRule="atLeast"/>
        </w:trPr>
        <w:tc>
          <w:tcPr>
            <w:tcW w:w="60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196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售后服务1</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保修年限不低于3年，全年故障停机时间不高于5%（按365日/年计算)。</w:t>
            </w:r>
          </w:p>
        </w:tc>
        <w:tc>
          <w:tcPr>
            <w:tcW w:w="135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原厂授权</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270" w:hRule="atLeast"/>
        </w:trPr>
        <w:tc>
          <w:tcPr>
            <w:tcW w:w="60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196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售后服务2</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保修期内免费提供定期设备维护保养服务，免费升级和维护软件，免费提供使用培训；保修期外，原软件维护仅收工时费。</w:t>
            </w:r>
          </w:p>
        </w:tc>
        <w:tc>
          <w:tcPr>
            <w:tcW w:w="1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270" w:hRule="atLeast"/>
        </w:trPr>
        <w:tc>
          <w:tcPr>
            <w:tcW w:w="60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196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售后服务3</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（质保）</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提供不少于3人次、1天的工程师维修培训。</w:t>
            </w:r>
          </w:p>
        </w:tc>
        <w:tc>
          <w:tcPr>
            <w:tcW w:w="1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270" w:hRule="atLeast"/>
        </w:trPr>
        <w:tc>
          <w:tcPr>
            <w:tcW w:w="60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196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售后服务4</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（响应时间）</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维修响应时间≤0.5个工作日（京内）</w:t>
            </w:r>
            <w:r>
              <w:rPr>
                <w:rFonts w:hint="eastAsia" w:ascii="黑体" w:hAnsi="宋体" w:eastAsia="黑体" w:cs="黑体"/>
                <w:i w:val="0"/>
                <w:iCs w:val="0"/>
                <w:color w:val="000000"/>
                <w:kern w:val="0"/>
                <w:sz w:val="20"/>
                <w:szCs w:val="20"/>
                <w:u w:val="none"/>
                <w:lang w:val="en-US" w:eastAsia="zh-CN" w:bidi="ar"/>
              </w:rPr>
              <w:br w:type="textWrapping"/>
            </w:r>
            <w:r>
              <w:rPr>
                <w:rFonts w:hint="eastAsia" w:ascii="黑体" w:hAnsi="宋体" w:eastAsia="黑体" w:cs="黑体"/>
                <w:i w:val="0"/>
                <w:iCs w:val="0"/>
                <w:color w:val="000000"/>
                <w:kern w:val="0"/>
                <w:sz w:val="20"/>
                <w:szCs w:val="20"/>
                <w:u w:val="none"/>
                <w:lang w:val="en-US" w:eastAsia="zh-CN" w:bidi="ar"/>
              </w:rPr>
              <w:t>维修到达现场时间≤3个工作日（京外）</w:t>
            </w:r>
          </w:p>
        </w:tc>
        <w:tc>
          <w:tcPr>
            <w:tcW w:w="1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270" w:hRule="atLeast"/>
        </w:trPr>
        <w:tc>
          <w:tcPr>
            <w:tcW w:w="60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196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备品备件要求（零配件）</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4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由供应商承诺项目使用寿命周期内保证零配件供应。</w:t>
            </w:r>
          </w:p>
        </w:tc>
        <w:tc>
          <w:tcPr>
            <w:tcW w:w="1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CellMar>
            <w:top w:w="0" w:type="dxa"/>
            <w:left w:w="0" w:type="dxa"/>
            <w:bottom w:w="0" w:type="dxa"/>
            <w:right w:w="0" w:type="dxa"/>
          </w:tblCellMar>
        </w:tblPrEx>
        <w:trPr>
          <w:trHeight w:val="270" w:hRule="atLeast"/>
        </w:trPr>
        <w:tc>
          <w:tcPr>
            <w:tcW w:w="6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2"/>
                <w:szCs w:val="22"/>
                <w:u w:val="none"/>
                <w:lang w:val="en-US" w:eastAsia="zh-CN" w:bidi="ar-SA"/>
              </w:rPr>
            </w:pPr>
            <w:r>
              <w:rPr>
                <w:rFonts w:hint="default" w:ascii="宋体" w:hAnsi="宋体" w:cs="宋体"/>
                <w:i w:val="0"/>
                <w:iCs w:val="0"/>
                <w:color w:val="auto"/>
                <w:kern w:val="0"/>
                <w:sz w:val="22"/>
                <w:szCs w:val="22"/>
                <w:u w:val="none"/>
                <w:lang w:val="en-US" w:eastAsia="zh-CN" w:bidi="ar"/>
              </w:rPr>
              <w:t>10</w:t>
            </w:r>
          </w:p>
        </w:tc>
        <w:tc>
          <w:tcPr>
            <w:tcW w:w="196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知识产权</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4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报价供应商应当保证采购单位在使用该物资或其任何一部分时，不受第三方侵权指控，同时，报价供应商不得向第三方泄露采购机构提供的技术文件等材料，基于合同履行形成的知识产权和其他权益，其权属归采购单位所有，法律另有规定的除外。</w:t>
            </w:r>
          </w:p>
        </w:tc>
        <w:tc>
          <w:tcPr>
            <w:tcW w:w="1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iCs/>
                <w:color w:val="auto"/>
                <w:kern w:val="2"/>
                <w:sz w:val="20"/>
                <w:szCs w:val="20"/>
                <w:u w:val="none"/>
                <w:lang w:val="en-US" w:eastAsia="zh-CN" w:bidi="ar-SA"/>
              </w:rPr>
            </w:pPr>
            <w:r>
              <w:rPr>
                <w:rFonts w:hint="eastAsia" w:ascii="黑体" w:hAnsi="宋体" w:eastAsia="黑体" w:cs="黑体"/>
                <w:i/>
                <w:iCs/>
                <w:color w:val="auto"/>
                <w:kern w:val="0"/>
                <w:sz w:val="20"/>
                <w:szCs w:val="20"/>
                <w:u w:val="none"/>
                <w:lang w:val="en-US" w:eastAsia="zh-CN" w:bidi="ar"/>
              </w:rPr>
              <w:t>企业承诺</w:t>
            </w:r>
          </w:p>
        </w:tc>
      </w:tr>
      <w:tr>
        <w:tblPrEx>
          <w:tblCellMar>
            <w:top w:w="0" w:type="dxa"/>
            <w:left w:w="0" w:type="dxa"/>
            <w:bottom w:w="0" w:type="dxa"/>
            <w:right w:w="0" w:type="dxa"/>
          </w:tblCellMar>
        </w:tblPrEx>
        <w:trPr>
          <w:trHeight w:val="270" w:hRule="atLeast"/>
        </w:trPr>
        <w:tc>
          <w:tcPr>
            <w:tcW w:w="60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2"/>
                <w:szCs w:val="22"/>
                <w:u w:val="none"/>
                <w:lang w:val="en-US" w:eastAsia="zh-CN" w:bidi="ar-SA"/>
              </w:rPr>
            </w:pPr>
            <w:r>
              <w:rPr>
                <w:rFonts w:hint="default" w:ascii="宋体" w:hAnsi="宋体" w:cs="宋体"/>
                <w:i w:val="0"/>
                <w:iCs w:val="0"/>
                <w:color w:val="auto"/>
                <w:kern w:val="0"/>
                <w:sz w:val="22"/>
                <w:szCs w:val="22"/>
                <w:u w:val="none"/>
                <w:lang w:val="en-US" w:eastAsia="zh-CN" w:bidi="ar"/>
              </w:rPr>
              <w:t>11</w:t>
            </w:r>
          </w:p>
        </w:tc>
        <w:tc>
          <w:tcPr>
            <w:tcW w:w="196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物资编目编码、打码贴签要求</w:t>
            </w:r>
          </w:p>
        </w:tc>
        <w:tc>
          <w:tcPr>
            <w:tcW w:w="58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t>
            </w:r>
          </w:p>
        </w:tc>
        <w:tc>
          <w:tcPr>
            <w:tcW w:w="42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2"/>
                <w:szCs w:val="22"/>
                <w:u w:val="none"/>
                <w:lang w:val="en-US" w:eastAsia="zh-CN" w:bidi="ar-SA"/>
              </w:rPr>
            </w:pPr>
            <w:r>
              <w:rPr>
                <w:rFonts w:hint="eastAsia" w:ascii="宋体" w:hAnsi="宋体" w:eastAsia="宋体" w:cs="宋体"/>
                <w:i w:val="0"/>
                <w:iCs w:val="0"/>
                <w:color w:val="auto"/>
                <w:kern w:val="0"/>
                <w:sz w:val="22"/>
                <w:szCs w:val="22"/>
                <w:u w:val="none"/>
                <w:lang w:val="en-US" w:eastAsia="zh-CN" w:bidi="ar"/>
              </w:rPr>
              <w:t>本项目对物资的编目编码、打码贴签要求，报价供应商应当予以明确响应，相关费用包含在报价中。</w:t>
            </w:r>
          </w:p>
        </w:tc>
        <w:tc>
          <w:tcPr>
            <w:tcW w:w="13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iCs/>
                <w:color w:val="auto"/>
                <w:kern w:val="2"/>
                <w:sz w:val="20"/>
                <w:szCs w:val="20"/>
                <w:u w:val="none"/>
                <w:lang w:val="en-US" w:eastAsia="zh-CN" w:bidi="ar-SA"/>
              </w:rPr>
            </w:pPr>
            <w:r>
              <w:rPr>
                <w:rFonts w:hint="eastAsia" w:ascii="黑体" w:hAnsi="宋体" w:eastAsia="黑体" w:cs="黑体"/>
                <w:i/>
                <w:iCs/>
                <w:color w:val="auto"/>
                <w:kern w:val="0"/>
                <w:sz w:val="20"/>
                <w:szCs w:val="20"/>
                <w:u w:val="none"/>
                <w:lang w:val="en-US" w:eastAsia="zh-CN" w:bidi="ar"/>
              </w:rPr>
              <w:t>企业承诺</w:t>
            </w:r>
          </w:p>
        </w:tc>
      </w:tr>
    </w:tbl>
    <w:p>
      <w:pPr>
        <w:pStyle w:val="5"/>
        <w:spacing w:before="0" w:after="0" w:line="560" w:lineRule="exact"/>
        <w:ind w:firstLine="560" w:firstLineChars="200"/>
        <w:rPr>
          <w:rFonts w:ascii="黑体" w:hAnsi="黑体" w:cs="黑体"/>
          <w:b w:val="0"/>
          <w:color w:val="auto"/>
          <w:sz w:val="28"/>
          <w:szCs w:val="28"/>
        </w:rPr>
      </w:pPr>
      <w:bookmarkStart w:id="44" w:name="_Toc132190634"/>
      <w:bookmarkStart w:id="45" w:name="_Toc128397970"/>
      <w:bookmarkStart w:id="46" w:name="_Toc127820564"/>
      <w:bookmarkStart w:id="47" w:name="_Toc128150778"/>
      <w:bookmarkStart w:id="48" w:name="_Toc128151027"/>
      <w:bookmarkStart w:id="49" w:name="_Toc128150134"/>
      <w:bookmarkStart w:id="50" w:name="_Toc150418428"/>
      <w:bookmarkStart w:id="51" w:name="_Toc152057837"/>
      <w:bookmarkStart w:id="52" w:name="_Toc130887500"/>
      <w:r>
        <w:rPr>
          <w:rFonts w:hint="eastAsia" w:ascii="黑体" w:hAnsi="黑体" w:cs="黑体"/>
          <w:b w:val="0"/>
          <w:color w:val="auto"/>
          <w:sz w:val="28"/>
          <w:szCs w:val="28"/>
        </w:rPr>
        <w:t>二、技术要求</w:t>
      </w:r>
      <w:bookmarkEnd w:id="44"/>
      <w:bookmarkEnd w:id="45"/>
      <w:bookmarkEnd w:id="46"/>
      <w:bookmarkEnd w:id="47"/>
      <w:bookmarkEnd w:id="48"/>
      <w:bookmarkEnd w:id="49"/>
      <w:bookmarkEnd w:id="50"/>
      <w:bookmarkEnd w:id="51"/>
      <w:bookmarkEnd w:id="52"/>
    </w:p>
    <w:tbl>
      <w:tblPr>
        <w:tblStyle w:val="42"/>
        <w:tblW w:w="499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8"/>
        <w:gridCol w:w="1705"/>
        <w:gridCol w:w="849"/>
        <w:gridCol w:w="3982"/>
        <w:gridCol w:w="834"/>
        <w:gridCol w:w="15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i w:val="0"/>
                <w:iCs w:val="0"/>
                <w:color w:val="auto"/>
              </w:rPr>
            </w:pPr>
            <w:r>
              <w:rPr>
                <w:rFonts w:hint="eastAsia"/>
                <w:i w:val="0"/>
                <w:iCs w:val="0"/>
                <w:color w:val="auto"/>
                <w:lang w:val="en-US" w:eastAsia="zh-CN"/>
              </w:rPr>
              <w:t>序号</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i w:val="0"/>
                <w:iCs w:val="0"/>
                <w:color w:val="auto"/>
              </w:rPr>
            </w:pPr>
            <w:r>
              <w:rPr>
                <w:rFonts w:hint="eastAsia"/>
                <w:i w:val="0"/>
                <w:iCs w:val="0"/>
                <w:color w:val="auto"/>
                <w:lang w:val="en-US" w:eastAsia="zh-CN"/>
              </w:rPr>
              <w:t>需求名称</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i w:val="0"/>
                <w:iCs w:val="0"/>
                <w:color w:val="auto"/>
                <w:lang w:val="en-US" w:eastAsia="zh-CN"/>
              </w:rPr>
            </w:pPr>
            <w:r>
              <w:rPr>
                <w:rFonts w:hint="eastAsia"/>
                <w:i w:val="0"/>
                <w:iCs w:val="0"/>
                <w:color w:val="auto"/>
                <w:lang w:val="en-US" w:eastAsia="zh-CN"/>
              </w:rPr>
              <w:t>参数</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i w:val="0"/>
                <w:iCs w:val="0"/>
                <w:color w:val="auto"/>
              </w:rPr>
            </w:pPr>
            <w:r>
              <w:rPr>
                <w:rFonts w:hint="eastAsia"/>
                <w:i w:val="0"/>
                <w:iCs w:val="0"/>
                <w:color w:val="auto"/>
                <w:lang w:val="en-US" w:eastAsia="zh-CN"/>
              </w:rPr>
              <w:t>性质</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i w:val="0"/>
                <w:iCs w:val="0"/>
                <w:color w:val="auto"/>
              </w:rPr>
            </w:pPr>
            <w:r>
              <w:rPr>
                <w:rFonts w:hint="eastAsia"/>
                <w:i w:val="0"/>
                <w:iCs w:val="0"/>
                <w:color w:val="auto"/>
                <w:lang w:val="en-US" w:eastAsia="zh-CN"/>
              </w:rPr>
              <w:t>需求具体内容</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val="0"/>
              <w:overflowPunct/>
              <w:topLinePunct w:val="0"/>
              <w:autoSpaceDE/>
              <w:autoSpaceDN/>
              <w:bidi w:val="0"/>
              <w:adjustRightInd/>
              <w:snapToGrid/>
              <w:ind w:firstLine="0" w:firstLineChars="0"/>
              <w:jc w:val="center"/>
              <w:textAlignment w:val="auto"/>
              <w:rPr>
                <w:rFonts w:hint="eastAsia"/>
                <w:i w:val="0"/>
                <w:iCs w:val="0"/>
                <w:color w:val="auto"/>
              </w:rPr>
            </w:pPr>
            <w:r>
              <w:rPr>
                <w:rFonts w:hint="eastAsia"/>
                <w:i w:val="0"/>
                <w:iCs w:val="0"/>
                <w:color w:val="auto"/>
                <w:lang w:val="en-US" w:eastAsia="zh-CN"/>
              </w:rPr>
              <w:t>是否量化</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i w:val="0"/>
                <w:iCs w:val="0"/>
                <w:color w:val="auto"/>
              </w:rPr>
            </w:pPr>
            <w:r>
              <w:rPr>
                <w:rFonts w:hint="eastAsia"/>
                <w:i w:val="0"/>
                <w:iCs w:val="0"/>
                <w:color w:val="auto"/>
                <w:lang w:val="en-US" w:eastAsia="zh-CN"/>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i w:val="0"/>
                <w:iCs w:val="0"/>
                <w:color w:val="auto"/>
              </w:rPr>
            </w:pPr>
            <w:r>
              <w:rPr>
                <w:rFonts w:hint="eastAsia"/>
                <w:i w:val="0"/>
                <w:iCs w:val="0"/>
                <w:color w:val="auto"/>
                <w:lang w:val="en-US" w:eastAsia="zh-CN"/>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基本要求</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Style w:val="151"/>
                <w:color w:val="auto"/>
                <w:lang w:val="en-US" w:eastAsia="zh-CN" w:bidi="ar"/>
              </w:rPr>
              <w:t>用于人体中枢神经刺激和外周神经刺激，对脑神经及神经损伤性疾病的辅助治疗，以及用于辅助治疗或改善失眠症状。</w:t>
            </w:r>
            <w:r>
              <w:rPr>
                <w:rStyle w:val="152"/>
                <w:color w:val="auto"/>
                <w:lang w:val="en-US" w:eastAsia="zh-CN" w:bidi="ar"/>
              </w:rPr>
              <w:t>还可用于神经电生理检查和运动神经功能评定等</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产品彩页、说明书或技术白皮书或承诺书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标准规范</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Style w:val="152"/>
                <w:color w:val="auto"/>
                <w:lang w:val="en-US" w:eastAsia="zh-CN" w:bidi="ar"/>
              </w:rPr>
              <w:t>具备</w:t>
            </w:r>
            <w:r>
              <w:rPr>
                <w:rStyle w:val="151"/>
                <w:color w:val="auto"/>
                <w:lang w:val="en-US" w:eastAsia="zh-CN" w:bidi="ar"/>
              </w:rPr>
              <w:t>NMPA认证</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主机外观结构</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一体式台车主机</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4</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冷却系统</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液态内循环冷却</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相关证书证明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5</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操作系统</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Windows系统笔记本电脑，支持脱离磁刺激主机独立使用</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提供笔记本电脑节能证书或3C证书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6</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刺激线圈最大磁感应强度</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≥6.0T</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7</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磁感应强度稳定输出允差</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≤±5%</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磁感应强度的最大变化率</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≥70KT/s</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9</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脉冲上升时间</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Style w:val="151"/>
                <w:color w:val="auto"/>
                <w:lang w:val="en-US" w:eastAsia="zh-CN" w:bidi="ar"/>
              </w:rPr>
              <w:t>60</w:t>
            </w:r>
            <w:r>
              <w:rPr>
                <w:rStyle w:val="153"/>
                <w:rFonts w:eastAsia="黑体"/>
                <w:color w:val="auto"/>
                <w:lang w:val="en-US" w:eastAsia="zh-CN" w:bidi="ar"/>
              </w:rPr>
              <w:t>μ</w:t>
            </w:r>
            <w:r>
              <w:rPr>
                <w:rStyle w:val="151"/>
                <w:color w:val="auto"/>
                <w:lang w:val="en-US" w:eastAsia="zh-CN" w:bidi="ar"/>
              </w:rPr>
              <w:t>s±10</w:t>
            </w:r>
            <w:r>
              <w:rPr>
                <w:rStyle w:val="153"/>
                <w:rFonts w:eastAsia="黑体"/>
                <w:color w:val="auto"/>
                <w:lang w:val="en-US" w:eastAsia="zh-CN" w:bidi="ar"/>
              </w:rPr>
              <w:t>μ</w:t>
            </w:r>
            <w:r>
              <w:rPr>
                <w:rStyle w:val="151"/>
                <w:color w:val="auto"/>
                <w:lang w:val="en-US" w:eastAsia="zh-CN" w:bidi="ar"/>
              </w:rPr>
              <w:t>s</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输出脉冲宽度</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Style w:val="151"/>
                <w:color w:val="auto"/>
                <w:lang w:val="en-US" w:eastAsia="zh-CN" w:bidi="ar"/>
              </w:rPr>
              <w:t>340</w:t>
            </w:r>
            <w:r>
              <w:rPr>
                <w:rStyle w:val="153"/>
                <w:rFonts w:eastAsia="黑体"/>
                <w:color w:val="auto"/>
                <w:lang w:val="en-US" w:eastAsia="zh-CN" w:bidi="ar"/>
              </w:rPr>
              <w:t>μ</w:t>
            </w:r>
            <w:r>
              <w:rPr>
                <w:rStyle w:val="151"/>
                <w:color w:val="auto"/>
                <w:lang w:val="en-US" w:eastAsia="zh-CN" w:bidi="ar"/>
              </w:rPr>
              <w:t>s±20</w:t>
            </w:r>
            <w:r>
              <w:rPr>
                <w:rStyle w:val="153"/>
                <w:rFonts w:eastAsia="黑体"/>
                <w:color w:val="auto"/>
                <w:lang w:val="en-US" w:eastAsia="zh-CN" w:bidi="ar"/>
              </w:rPr>
              <w:t>μ</w:t>
            </w:r>
            <w:r>
              <w:rPr>
                <w:rStyle w:val="151"/>
                <w:color w:val="auto"/>
                <w:lang w:val="en-US" w:eastAsia="zh-CN" w:bidi="ar"/>
              </w:rPr>
              <w:t>s</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11</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输出脉冲频率及允差</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0.1Hz-40Hz可调，允差≤±2%</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提供设备铭牌证明或承诺书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12</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电介质强度</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Style w:val="152"/>
                <w:color w:val="auto"/>
                <w:lang w:val="en-US" w:eastAsia="zh-CN" w:bidi="ar"/>
              </w:rPr>
              <w:t>≥</w:t>
            </w:r>
            <w:r>
              <w:rPr>
                <w:rStyle w:val="151"/>
                <w:color w:val="auto"/>
                <w:lang w:val="en-US" w:eastAsia="zh-CN" w:bidi="ar"/>
              </w:rPr>
              <w:t>4000VAC</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提供检测报告证明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13</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刺激线圈</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双面双向，线圈全封闭一体样式</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14</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刺激线圈表面温度</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u w:val="none"/>
                <w:lang w:val="en-US" w:eastAsia="zh-CN" w:bidi="ar-SA"/>
              </w:rPr>
            </w:pPr>
            <w:r>
              <w:rPr>
                <w:rFonts w:hint="eastAsia" w:ascii="黑体" w:hAnsi="宋体" w:eastAsia="黑体" w:cs="黑体"/>
                <w:i w:val="0"/>
                <w:iCs w:val="0"/>
                <w:color w:val="auto"/>
                <w:kern w:val="0"/>
                <w:sz w:val="20"/>
                <w:szCs w:val="20"/>
                <w:u w:val="none"/>
                <w:lang w:val="en-US" w:eastAsia="zh-CN" w:bidi="ar"/>
              </w:rPr>
              <w:t>≤40℃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15</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刺激线圈功能</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具有电动吸液和电动排液功能</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0"/>
                <w:szCs w:val="20"/>
                <w:u w:val="none"/>
                <w:lang w:val="en-US" w:eastAsia="zh-CN" w:bidi="ar"/>
              </w:rPr>
            </w:pPr>
            <w:r>
              <w:rPr>
                <w:rFonts w:hint="default" w:ascii="黑体" w:hAnsi="宋体" w:eastAsia="黑体" w:cs="黑体"/>
                <w:i w:val="0"/>
                <w:iCs w:val="0"/>
                <w:color w:val="000000"/>
                <w:kern w:val="0"/>
                <w:sz w:val="20"/>
                <w:szCs w:val="20"/>
                <w:u w:val="none"/>
                <w:lang w:val="en-US" w:eastAsia="zh-CN" w:bidi="ar"/>
              </w:rPr>
              <w:t>16</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软件功能</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可建立和储存患者的一般信息、病情信息，病人档案管理，专家方案，自定义治疗方案；可根据病人姓名查找相关储存资料调出回放</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17</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MEP采样率</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≥100KHz</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提供注册证附件产品技术要求或省级以上医疗器械检验中心出具的注册检验报告加以证明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18</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MEP传输方式</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内置式MEP模块，无需充电，非锂电池充电或其他需要充电的外置式无线传输MEP模块，确保信号稳定使用方便</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19</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MEP最小分辨率</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Style w:val="151"/>
                <w:lang w:val="en-US" w:eastAsia="zh-CN" w:bidi="ar"/>
              </w:rPr>
              <w:t>≤0.1</w:t>
            </w:r>
            <w:r>
              <w:rPr>
                <w:rStyle w:val="153"/>
                <w:rFonts w:eastAsia="黑体"/>
                <w:lang w:val="en-US" w:eastAsia="zh-CN" w:bidi="ar"/>
              </w:rPr>
              <w:t>μ</w:t>
            </w:r>
            <w:r>
              <w:rPr>
                <w:rStyle w:val="151"/>
                <w:lang w:val="en-US" w:eastAsia="zh-CN" w:bidi="ar"/>
              </w:rPr>
              <w:t>V</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20</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MEP频率测量范围</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≥1Hz-25KHz</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提供检测报告证明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21</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检测项目</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支持运动阈值（MT）、运动诱发电位（MEP）、中枢神经传导时间（CMCT）、静息期检测等检测功能</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22</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刺激模式</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单脉冲（sTMS）、重复脉冲（rTMS）、复合刺激（TBS）等多种刺激模式自由调整</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23</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刺激模式定时时间</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定时时间按照方案的需要设置，在预定时间（方案的总时间）到达后设备自动终止磁场输出，允差≤±10%</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24</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触发输出</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Style w:val="151"/>
                <w:lang w:val="en-US" w:eastAsia="zh-CN" w:bidi="ar"/>
              </w:rPr>
              <w:t>触发脉冲波宽350</w:t>
            </w:r>
            <w:r>
              <w:rPr>
                <w:rStyle w:val="153"/>
                <w:rFonts w:eastAsia="黑体"/>
                <w:lang w:val="en-US" w:eastAsia="zh-CN" w:bidi="ar"/>
              </w:rPr>
              <w:t>μ</w:t>
            </w:r>
            <w:r>
              <w:rPr>
                <w:rStyle w:val="151"/>
                <w:lang w:val="en-US" w:eastAsia="zh-CN" w:bidi="ar"/>
              </w:rPr>
              <w:t>s±50</w:t>
            </w:r>
            <w:r>
              <w:rPr>
                <w:rStyle w:val="153"/>
                <w:rFonts w:eastAsia="黑体"/>
                <w:lang w:val="en-US" w:eastAsia="zh-CN" w:bidi="ar"/>
              </w:rPr>
              <w:t>μ</w:t>
            </w:r>
            <w:r>
              <w:rPr>
                <w:rStyle w:val="151"/>
                <w:lang w:val="en-US" w:eastAsia="zh-CN" w:bidi="ar"/>
              </w:rPr>
              <w:t>s，幅度5V±0.5V</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25</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触发输入</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Style w:val="151"/>
                <w:lang w:val="en-US" w:eastAsia="zh-CN" w:bidi="ar"/>
              </w:rPr>
              <w:t>输入脉冲波宽≥16</w:t>
            </w:r>
            <w:r>
              <w:rPr>
                <w:rStyle w:val="153"/>
                <w:rFonts w:eastAsia="黑体"/>
                <w:lang w:val="en-US" w:eastAsia="zh-CN" w:bidi="ar"/>
              </w:rPr>
              <w:t>μ</w:t>
            </w:r>
            <w:r>
              <w:rPr>
                <w:rStyle w:val="151"/>
                <w:lang w:val="en-US" w:eastAsia="zh-CN" w:bidi="ar"/>
              </w:rPr>
              <w:t>s，幅度5V±0.5V的信号，能被触发</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26</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触发输入延时时间</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操作软件上调节触发输入延时时间，软件在0-500ms范围可调，步长0.1ms</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27</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触发输出延时时间</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操作软件上调节触发输出延时时间，软件在-500~500ms范围可调，步长0.1ms</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28</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扩展功能</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支持扩展经颅磁刺激随动导航系统</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29</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设备兼容</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可与电刺激、近红外、导航等设备兼容</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1"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30</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报警及安全指标</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设备指标异常提示和安全报警声、光指示。当冷却系统发生故障时，应有提示或停止磁场输出。具有手动紧急停止磁场输出的功能，电容放电次数达到上限时具有提示功能</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31</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设备使用有效期限</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≥8年</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3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黑体" w:hAnsi="宋体" w:eastAsia="黑体" w:cs="黑体"/>
                <w:i w:val="0"/>
                <w:iCs w:val="0"/>
                <w:color w:val="000000"/>
                <w:kern w:val="2"/>
                <w:sz w:val="20"/>
                <w:szCs w:val="20"/>
                <w:u w:val="none"/>
                <w:lang w:val="en-US" w:eastAsia="zh-CN" w:bidi="ar-SA"/>
              </w:rPr>
            </w:pPr>
            <w:r>
              <w:rPr>
                <w:rFonts w:hint="default" w:ascii="黑体" w:hAnsi="宋体" w:eastAsia="黑体" w:cs="黑体"/>
                <w:i w:val="0"/>
                <w:iCs w:val="0"/>
                <w:color w:val="000000"/>
                <w:kern w:val="0"/>
                <w:sz w:val="20"/>
                <w:szCs w:val="20"/>
                <w:u w:val="none"/>
                <w:lang w:val="en-US" w:eastAsia="zh-CN" w:bidi="ar"/>
              </w:rPr>
              <w:t>32</w:t>
            </w:r>
          </w:p>
        </w:tc>
        <w:tc>
          <w:tcPr>
            <w:tcW w:w="8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配置要求</w:t>
            </w:r>
          </w:p>
        </w:tc>
        <w:tc>
          <w:tcPr>
            <w:tcW w:w="44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w:t>
            </w:r>
          </w:p>
        </w:tc>
        <w:tc>
          <w:tcPr>
            <w:tcW w:w="20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经颅重复磁刺激仪一套（含主机1台、冷却系统1套、操作软件1套、MEP模块1个、支架1套、刺激定位帽10套、笔记本电脑1台、刺激线圈1套）</w:t>
            </w:r>
          </w:p>
        </w:tc>
        <w:tc>
          <w:tcPr>
            <w:tcW w:w="43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否</w:t>
            </w:r>
          </w:p>
        </w:tc>
        <w:tc>
          <w:tcPr>
            <w:tcW w:w="7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kern w:val="2"/>
                <w:sz w:val="20"/>
                <w:szCs w:val="20"/>
                <w:u w:val="none"/>
                <w:lang w:val="en-US" w:eastAsia="zh-CN" w:bidi="ar-SA"/>
              </w:rPr>
            </w:pPr>
            <w:r>
              <w:rPr>
                <w:rFonts w:hint="eastAsia" w:ascii="黑体" w:hAnsi="宋体" w:eastAsia="黑体" w:cs="黑体"/>
                <w:i w:val="0"/>
                <w:iCs w:val="0"/>
                <w:color w:val="000000"/>
                <w:kern w:val="0"/>
                <w:sz w:val="20"/>
                <w:szCs w:val="20"/>
                <w:u w:val="none"/>
                <w:lang w:val="en-US" w:eastAsia="zh-CN" w:bidi="ar"/>
              </w:rPr>
              <w:t>企业承诺</w:t>
            </w:r>
          </w:p>
        </w:tc>
      </w:tr>
    </w:tbl>
    <w:p>
      <w:pPr>
        <w:keepNext w:val="0"/>
        <w:keepLines w:val="0"/>
        <w:pageBreakBefore w:val="0"/>
        <w:widowControl w:val="0"/>
        <w:kinsoku/>
        <w:wordWrap/>
        <w:overflowPunct/>
        <w:topLinePunct w:val="0"/>
        <w:autoSpaceDE/>
        <w:autoSpaceDN/>
        <w:bidi w:val="0"/>
        <w:adjustRightInd/>
        <w:snapToGrid/>
        <w:ind w:firstLine="0" w:firstLineChars="0"/>
        <w:textAlignment w:val="auto"/>
        <w:rPr>
          <w:i/>
          <w:iCs/>
          <w:color w:val="auto"/>
        </w:rPr>
      </w:pP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宋体" w:hAnsi="宋体" w:cs="宋体"/>
          <w:color w:val="auto"/>
          <w:kern w:val="0"/>
          <w:sz w:val="22"/>
          <w:szCs w:val="22"/>
          <w:lang w:bidi="ar"/>
        </w:rPr>
      </w:pPr>
      <w:r>
        <w:rPr>
          <w:rFonts w:ascii="宋体" w:hAnsi="宋体" w:cs="宋体"/>
          <w:color w:val="auto"/>
          <w:kern w:val="0"/>
          <w:sz w:val="22"/>
          <w:szCs w:val="22"/>
          <w:lang w:bidi="ar"/>
        </w:rPr>
        <w:t xml:space="preserve">说明 </w:t>
      </w:r>
      <w:r>
        <w:rPr>
          <w:rFonts w:hint="eastAsia" w:ascii="宋体" w:hAnsi="宋体" w:cs="宋体"/>
          <w:color w:val="auto"/>
          <w:kern w:val="0"/>
          <w:sz w:val="22"/>
          <w:szCs w:val="22"/>
          <w:lang w:bidi="ar"/>
        </w:rPr>
        <w:t>：</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color w:val="auto"/>
          <w:kern w:val="0"/>
          <w:sz w:val="22"/>
          <w:szCs w:val="22"/>
          <w:lang w:bidi="ar"/>
        </w:rPr>
      </w:pPr>
      <w:r>
        <w:rPr>
          <w:rFonts w:hint="eastAsia" w:ascii="宋体" w:hAnsi="宋体" w:cs="宋体"/>
          <w:color w:val="auto"/>
          <w:kern w:val="0"/>
          <w:sz w:val="22"/>
          <w:szCs w:val="22"/>
          <w:lang w:bidi="ar"/>
        </w:rPr>
        <w:t>（</w:t>
      </w:r>
      <w:r>
        <w:rPr>
          <w:rFonts w:ascii="宋体" w:hAnsi="宋体" w:cs="宋体"/>
          <w:color w:val="auto"/>
          <w:kern w:val="0"/>
          <w:sz w:val="22"/>
          <w:szCs w:val="22"/>
          <w:lang w:bidi="ar"/>
        </w:rPr>
        <w:t>1</w:t>
      </w:r>
      <w:r>
        <w:rPr>
          <w:rFonts w:hint="eastAsia" w:ascii="宋体" w:hAnsi="宋体" w:cs="宋体"/>
          <w:color w:val="auto"/>
          <w:kern w:val="0"/>
          <w:sz w:val="22"/>
          <w:szCs w:val="22"/>
          <w:lang w:bidi="ar"/>
        </w:rPr>
        <w:t>）</w:t>
      </w:r>
      <w:r>
        <w:rPr>
          <w:rFonts w:ascii="宋体" w:hAnsi="宋体" w:cs="宋体"/>
          <w:color w:val="auto"/>
          <w:kern w:val="0"/>
          <w:sz w:val="22"/>
          <w:szCs w:val="22"/>
          <w:lang w:bidi="ar"/>
        </w:rPr>
        <w:t>★指标为必须响应指标，任意一项不满足要求即做废标处理；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color w:val="auto"/>
          <w:kern w:val="0"/>
          <w:sz w:val="22"/>
          <w:szCs w:val="22"/>
          <w:lang w:bidi="ar"/>
        </w:rPr>
      </w:pPr>
      <w:r>
        <w:rPr>
          <w:rFonts w:hint="eastAsia" w:ascii="宋体" w:hAnsi="宋体" w:cs="宋体"/>
          <w:color w:val="auto"/>
          <w:kern w:val="0"/>
          <w:sz w:val="22"/>
          <w:szCs w:val="22"/>
          <w:lang w:bidi="ar"/>
        </w:rPr>
        <w:t>（</w:t>
      </w:r>
      <w:r>
        <w:rPr>
          <w:rFonts w:ascii="宋体" w:hAnsi="宋体" w:cs="宋体"/>
          <w:color w:val="auto"/>
          <w:kern w:val="0"/>
          <w:sz w:val="22"/>
          <w:szCs w:val="22"/>
          <w:lang w:bidi="ar"/>
        </w:rPr>
        <w:t>2</w:t>
      </w:r>
      <w:r>
        <w:rPr>
          <w:rFonts w:hint="eastAsia" w:ascii="宋体" w:hAnsi="宋体" w:cs="宋体"/>
          <w:color w:val="auto"/>
          <w:kern w:val="0"/>
          <w:sz w:val="22"/>
          <w:szCs w:val="22"/>
          <w:lang w:bidi="ar"/>
        </w:rPr>
        <w:t>）</w:t>
      </w:r>
      <w:r>
        <w:rPr>
          <w:rFonts w:ascii="宋体" w:hAnsi="宋体" w:cs="宋体"/>
          <w:color w:val="auto"/>
          <w:kern w:val="0"/>
          <w:sz w:val="22"/>
          <w:szCs w:val="22"/>
          <w:lang w:bidi="ar"/>
        </w:rPr>
        <w:t>《采购需求表》备注已明确证明材料种类的，以所注内容或国家行政管理部门、专业检测机构出具的证明材料为准。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宋体" w:hAnsi="宋体" w:cs="宋体"/>
          <w:color w:val="auto"/>
          <w:kern w:val="0"/>
          <w:sz w:val="22"/>
          <w:szCs w:val="22"/>
          <w:lang w:bidi="ar"/>
        </w:rPr>
      </w:pPr>
      <w:r>
        <w:rPr>
          <w:rFonts w:hint="eastAsia" w:ascii="宋体" w:hAnsi="宋体" w:cs="宋体"/>
          <w:color w:val="auto"/>
          <w:kern w:val="0"/>
          <w:sz w:val="22"/>
          <w:szCs w:val="22"/>
          <w:lang w:bidi="ar"/>
        </w:rPr>
        <w:t>（</w:t>
      </w:r>
      <w:r>
        <w:rPr>
          <w:rFonts w:ascii="宋体" w:hAnsi="宋体" w:cs="宋体"/>
          <w:color w:val="auto"/>
          <w:kern w:val="0"/>
          <w:sz w:val="22"/>
          <w:szCs w:val="22"/>
          <w:lang w:bidi="ar"/>
        </w:rPr>
        <w:t>3</w:t>
      </w:r>
      <w:r>
        <w:rPr>
          <w:rFonts w:hint="eastAsia" w:ascii="宋体" w:hAnsi="宋体" w:cs="宋体"/>
          <w:color w:val="auto"/>
          <w:kern w:val="0"/>
          <w:sz w:val="22"/>
          <w:szCs w:val="22"/>
          <w:lang w:bidi="ar"/>
        </w:rPr>
        <w:t>）</w:t>
      </w:r>
      <w:r>
        <w:rPr>
          <w:rFonts w:ascii="宋体" w:hAnsi="宋体" w:cs="宋体"/>
          <w:color w:val="auto"/>
          <w:kern w:val="0"/>
          <w:sz w:val="22"/>
          <w:szCs w:val="22"/>
          <w:lang w:bidi="ar"/>
        </w:rPr>
        <w:t>★标识指标及▲标识指标须提供技术支持材料，支持材料包括但不限于以下任意一种或几种：产品规格表、产品宣传彩页、技术白皮书、制造商官方网站发布的产品信息、说明书、检测机构出具的检测报告或生产厂家出具的证明文件等；对参数配置数量、定制产品或待开发软件等功能指标要求以供应商响应承诺为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hint="eastAsia" w:ascii="黑体" w:hAnsi="黑体" w:eastAsia="宋体" w:cs="黑体"/>
          <w:b w:val="0"/>
          <w:color w:val="auto"/>
          <w:sz w:val="28"/>
          <w:szCs w:val="28"/>
        </w:rPr>
      </w:pPr>
      <w:r>
        <w:rPr>
          <w:rFonts w:hint="eastAsia" w:ascii="宋体" w:hAnsi="宋体" w:cs="宋体"/>
          <w:color w:val="auto"/>
          <w:kern w:val="0"/>
          <w:sz w:val="22"/>
          <w:szCs w:val="22"/>
          <w:lang w:bidi="ar"/>
        </w:rPr>
        <w:t>（</w:t>
      </w:r>
      <w:r>
        <w:rPr>
          <w:rFonts w:ascii="宋体" w:hAnsi="宋体" w:cs="宋体"/>
          <w:color w:val="auto"/>
          <w:kern w:val="0"/>
          <w:sz w:val="22"/>
          <w:szCs w:val="22"/>
          <w:lang w:bidi="ar"/>
        </w:rPr>
        <w:t>4</w:t>
      </w:r>
      <w:r>
        <w:rPr>
          <w:rFonts w:hint="eastAsia" w:ascii="宋体" w:hAnsi="宋体" w:cs="宋体"/>
          <w:color w:val="auto"/>
          <w:kern w:val="0"/>
          <w:sz w:val="22"/>
          <w:szCs w:val="22"/>
          <w:lang w:bidi="ar"/>
        </w:rPr>
        <w:t>）</w:t>
      </w:r>
      <w:r>
        <w:rPr>
          <w:rFonts w:ascii="宋体" w:hAnsi="宋体" w:cs="宋体"/>
          <w:color w:val="auto"/>
          <w:kern w:val="0"/>
          <w:sz w:val="22"/>
          <w:szCs w:val="22"/>
          <w:lang w:bidi="ar"/>
        </w:rPr>
        <w:t>无标识指标正偏离需参照上述要求提供技术支持材料，未提供的正偏离不予认可</w:t>
      </w:r>
      <w:r>
        <w:rPr>
          <w:rFonts w:hint="eastAsia" w:ascii="宋体" w:hAnsi="宋体" w:cs="宋体"/>
          <w:color w:val="auto"/>
          <w:kern w:val="0"/>
          <w:sz w:val="22"/>
          <w:szCs w:val="22"/>
          <w:lang w:eastAsia="zh-CN" w:bidi="ar"/>
        </w:rPr>
        <w:t>。</w:t>
      </w:r>
    </w:p>
    <w:bookmarkEnd w:id="30"/>
    <w:bookmarkEnd w:id="31"/>
    <w:bookmarkEnd w:id="32"/>
    <w:bookmarkEnd w:id="33"/>
    <w:bookmarkEnd w:id="34"/>
    <w:bookmarkEnd w:id="35"/>
    <w:bookmarkEnd w:id="36"/>
    <w:bookmarkEnd w:id="37"/>
    <w:bookmarkEnd w:id="38"/>
    <w:bookmarkEnd w:id="39"/>
    <w:bookmarkEnd w:id="40"/>
    <w:bookmarkEnd w:id="41"/>
    <w:bookmarkEnd w:id="42"/>
    <w:bookmarkEnd w:id="43"/>
    <w:p>
      <w:pPr>
        <w:widowControl/>
        <w:adjustRightInd w:val="0"/>
        <w:snapToGrid w:val="0"/>
        <w:spacing w:line="560" w:lineRule="exact"/>
        <w:jc w:val="left"/>
        <w:rPr>
          <w:rFonts w:ascii="宋体" w:hAnsi="宋体"/>
          <w:bCs/>
          <w:color w:val="auto"/>
          <w:szCs w:val="21"/>
          <w:u w:val="single"/>
        </w:rPr>
      </w:pPr>
      <w:bookmarkStart w:id="53" w:name="_GoBack"/>
      <w:bookmarkEnd w:id="53"/>
    </w:p>
    <w:sectPr>
      <w:footerReference r:id="rId3" w:type="default"/>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98</w:t>
                              </w:r>
                              <w:r>
                                <w:fldChar w:fldCharType="end"/>
                              </w:r>
                            </w:p>
                          </w:sdtContent>
                        </w:sdt>
                        <w:p>
                          <w:pPr>
                            <w:pStyle w:val="2"/>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sdt>
                    <w:sdtPr>
                      <w:id w:val="362792711"/>
                      <w:docPartObj>
                        <w:docPartGallery w:val="autotext"/>
                      </w:docPartObj>
                    </w:sdtPr>
                    <w:sdtContent>
                      <w:p>
                        <w:pPr>
                          <w:pStyle w:val="27"/>
                          <w:jc w:val="center"/>
                        </w:pPr>
                        <w:r>
                          <w:fldChar w:fldCharType="begin"/>
                        </w:r>
                        <w:r>
                          <w:instrText xml:space="preserve">PAGE   \* MERGEFORMAT</w:instrText>
                        </w:r>
                        <w:r>
                          <w:fldChar w:fldCharType="separate"/>
                        </w:r>
                        <w:r>
                          <w:rPr>
                            <w:lang w:val="zh-CN"/>
                          </w:rPr>
                          <w:t>98</w:t>
                        </w:r>
                        <w:r>
                          <w:fldChar w:fldCharType="end"/>
                        </w:r>
                      </w:p>
                    </w:sdtContent>
                  </w:sdt>
                  <w:p>
                    <w:pPr>
                      <w:pStyle w:val="2"/>
                    </w:pPr>
                  </w:p>
                </w:txbxContent>
              </v:textbox>
            </v:shape>
          </w:pict>
        </mc:Fallback>
      </mc:AlternateContent>
    </w:r>
  </w:p>
  <w:p>
    <w:pPr>
      <w:pStyle w:val="2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7434B4"/>
    <w:rsid w:val="00000A61"/>
    <w:rsid w:val="00000A83"/>
    <w:rsid w:val="00000FED"/>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5F7D"/>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1B37"/>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6523"/>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E22"/>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5A"/>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672"/>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3220"/>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47C06"/>
    <w:rsid w:val="00250A62"/>
    <w:rsid w:val="00250EAD"/>
    <w:rsid w:val="0025131F"/>
    <w:rsid w:val="002521A3"/>
    <w:rsid w:val="0025341F"/>
    <w:rsid w:val="00253669"/>
    <w:rsid w:val="00253FFF"/>
    <w:rsid w:val="002553C4"/>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0FE8"/>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062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C8"/>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106"/>
    <w:rsid w:val="00303573"/>
    <w:rsid w:val="00306A74"/>
    <w:rsid w:val="00307143"/>
    <w:rsid w:val="003113B9"/>
    <w:rsid w:val="00311CEC"/>
    <w:rsid w:val="00312B59"/>
    <w:rsid w:val="00313325"/>
    <w:rsid w:val="00313A4D"/>
    <w:rsid w:val="00313F34"/>
    <w:rsid w:val="00314ACC"/>
    <w:rsid w:val="00314DB9"/>
    <w:rsid w:val="003158D4"/>
    <w:rsid w:val="0031707F"/>
    <w:rsid w:val="0031734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21FC"/>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1F7"/>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6E1"/>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85"/>
    <w:rsid w:val="003B30BB"/>
    <w:rsid w:val="003B36FD"/>
    <w:rsid w:val="003B3D13"/>
    <w:rsid w:val="003B4D18"/>
    <w:rsid w:val="003B52E3"/>
    <w:rsid w:val="003B57E2"/>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820"/>
    <w:rsid w:val="00414B61"/>
    <w:rsid w:val="00415069"/>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A54"/>
    <w:rsid w:val="00445F02"/>
    <w:rsid w:val="00446471"/>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0E82"/>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2F"/>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2A6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66D"/>
    <w:rsid w:val="00572A77"/>
    <w:rsid w:val="00573462"/>
    <w:rsid w:val="00573BE5"/>
    <w:rsid w:val="00574301"/>
    <w:rsid w:val="00574656"/>
    <w:rsid w:val="00574806"/>
    <w:rsid w:val="005752A3"/>
    <w:rsid w:val="00575521"/>
    <w:rsid w:val="00575C97"/>
    <w:rsid w:val="00575CB7"/>
    <w:rsid w:val="00575D15"/>
    <w:rsid w:val="00576EEB"/>
    <w:rsid w:val="00577B39"/>
    <w:rsid w:val="00577C52"/>
    <w:rsid w:val="00577D51"/>
    <w:rsid w:val="005800F5"/>
    <w:rsid w:val="00580F55"/>
    <w:rsid w:val="005821A0"/>
    <w:rsid w:val="00583F70"/>
    <w:rsid w:val="005845CD"/>
    <w:rsid w:val="00584D05"/>
    <w:rsid w:val="0058523D"/>
    <w:rsid w:val="00585D2F"/>
    <w:rsid w:val="00586934"/>
    <w:rsid w:val="00586E05"/>
    <w:rsid w:val="005873AF"/>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3607"/>
    <w:rsid w:val="005E41E1"/>
    <w:rsid w:val="005E4442"/>
    <w:rsid w:val="005E4900"/>
    <w:rsid w:val="005E4BD2"/>
    <w:rsid w:val="005E4C0D"/>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2B9"/>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1A6"/>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2E9"/>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3CD1"/>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132"/>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99F"/>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76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B6DBA"/>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218"/>
    <w:rsid w:val="00846C2C"/>
    <w:rsid w:val="00847FEC"/>
    <w:rsid w:val="0085129C"/>
    <w:rsid w:val="008516E5"/>
    <w:rsid w:val="00851EDD"/>
    <w:rsid w:val="00852227"/>
    <w:rsid w:val="00852675"/>
    <w:rsid w:val="00852853"/>
    <w:rsid w:val="00853251"/>
    <w:rsid w:val="0085424E"/>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3B9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6DA"/>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396"/>
    <w:rsid w:val="00932D24"/>
    <w:rsid w:val="00934305"/>
    <w:rsid w:val="0093449D"/>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2E"/>
    <w:rsid w:val="009605C3"/>
    <w:rsid w:val="00960AEF"/>
    <w:rsid w:val="009627BD"/>
    <w:rsid w:val="00962AC7"/>
    <w:rsid w:val="00962FA5"/>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A7D"/>
    <w:rsid w:val="00974D37"/>
    <w:rsid w:val="00974E44"/>
    <w:rsid w:val="00975B91"/>
    <w:rsid w:val="009764A4"/>
    <w:rsid w:val="009771AA"/>
    <w:rsid w:val="00977BA6"/>
    <w:rsid w:val="00980519"/>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4DB"/>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99F"/>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568"/>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D6872"/>
    <w:rsid w:val="00AE0B31"/>
    <w:rsid w:val="00AE0EF8"/>
    <w:rsid w:val="00AE17A7"/>
    <w:rsid w:val="00AE1F33"/>
    <w:rsid w:val="00AE2989"/>
    <w:rsid w:val="00AE3218"/>
    <w:rsid w:val="00AE32D9"/>
    <w:rsid w:val="00AE3B1F"/>
    <w:rsid w:val="00AE3DD4"/>
    <w:rsid w:val="00AE43C4"/>
    <w:rsid w:val="00AE4454"/>
    <w:rsid w:val="00AE456A"/>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152A"/>
    <w:rsid w:val="00B02A7E"/>
    <w:rsid w:val="00B02D50"/>
    <w:rsid w:val="00B0338D"/>
    <w:rsid w:val="00B036E5"/>
    <w:rsid w:val="00B038AB"/>
    <w:rsid w:val="00B03D8D"/>
    <w:rsid w:val="00B04187"/>
    <w:rsid w:val="00B06424"/>
    <w:rsid w:val="00B06604"/>
    <w:rsid w:val="00B07EC2"/>
    <w:rsid w:val="00B10B2A"/>
    <w:rsid w:val="00B115CA"/>
    <w:rsid w:val="00B11964"/>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1CD"/>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168"/>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21F"/>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4C9"/>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3A6"/>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A6B"/>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98"/>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291"/>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CF6ACA"/>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319B"/>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0ED7"/>
    <w:rsid w:val="00DE15FD"/>
    <w:rsid w:val="00DE1653"/>
    <w:rsid w:val="00DE2D8D"/>
    <w:rsid w:val="00DE371F"/>
    <w:rsid w:val="00DE5A75"/>
    <w:rsid w:val="00DE6364"/>
    <w:rsid w:val="00DE6929"/>
    <w:rsid w:val="00DE7D7D"/>
    <w:rsid w:val="00DF04C3"/>
    <w:rsid w:val="00DF06B7"/>
    <w:rsid w:val="00DF0E04"/>
    <w:rsid w:val="00DF210C"/>
    <w:rsid w:val="00DF457B"/>
    <w:rsid w:val="00DF4EB5"/>
    <w:rsid w:val="00DF53AF"/>
    <w:rsid w:val="00DF53B7"/>
    <w:rsid w:val="00DF5957"/>
    <w:rsid w:val="00DF655F"/>
    <w:rsid w:val="00DF66A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3786F"/>
    <w:rsid w:val="00E40217"/>
    <w:rsid w:val="00E40560"/>
    <w:rsid w:val="00E40A2D"/>
    <w:rsid w:val="00E42AE6"/>
    <w:rsid w:val="00E42EA1"/>
    <w:rsid w:val="00E43872"/>
    <w:rsid w:val="00E43C57"/>
    <w:rsid w:val="00E43D91"/>
    <w:rsid w:val="00E448D4"/>
    <w:rsid w:val="00E44AE9"/>
    <w:rsid w:val="00E451D7"/>
    <w:rsid w:val="00E451F3"/>
    <w:rsid w:val="00E473F1"/>
    <w:rsid w:val="00E50005"/>
    <w:rsid w:val="00E5009F"/>
    <w:rsid w:val="00E50881"/>
    <w:rsid w:val="00E50972"/>
    <w:rsid w:val="00E52193"/>
    <w:rsid w:val="00E528E8"/>
    <w:rsid w:val="00E536D9"/>
    <w:rsid w:val="00E53F17"/>
    <w:rsid w:val="00E5432C"/>
    <w:rsid w:val="00E5483C"/>
    <w:rsid w:val="00E54BB4"/>
    <w:rsid w:val="00E54D53"/>
    <w:rsid w:val="00E554E8"/>
    <w:rsid w:val="00E55FA0"/>
    <w:rsid w:val="00E57523"/>
    <w:rsid w:val="00E57CCC"/>
    <w:rsid w:val="00E61786"/>
    <w:rsid w:val="00E61894"/>
    <w:rsid w:val="00E62214"/>
    <w:rsid w:val="00E6245C"/>
    <w:rsid w:val="00E62C34"/>
    <w:rsid w:val="00E62D90"/>
    <w:rsid w:val="00E63140"/>
    <w:rsid w:val="00E633DC"/>
    <w:rsid w:val="00E634D6"/>
    <w:rsid w:val="00E63548"/>
    <w:rsid w:val="00E63749"/>
    <w:rsid w:val="00E63AE1"/>
    <w:rsid w:val="00E64BA0"/>
    <w:rsid w:val="00E6543D"/>
    <w:rsid w:val="00E655E2"/>
    <w:rsid w:val="00E65CD8"/>
    <w:rsid w:val="00E66603"/>
    <w:rsid w:val="00E66618"/>
    <w:rsid w:val="00E705B2"/>
    <w:rsid w:val="00E711EA"/>
    <w:rsid w:val="00E71387"/>
    <w:rsid w:val="00E715D0"/>
    <w:rsid w:val="00E7198D"/>
    <w:rsid w:val="00E71F7F"/>
    <w:rsid w:val="00E72066"/>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B2"/>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253"/>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205"/>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661"/>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8EA"/>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3"/>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4C9C"/>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5E0632"/>
    <w:rsid w:val="01C35271"/>
    <w:rsid w:val="0233386D"/>
    <w:rsid w:val="03341722"/>
    <w:rsid w:val="039A4DF7"/>
    <w:rsid w:val="04504BAA"/>
    <w:rsid w:val="046E1FF1"/>
    <w:rsid w:val="04A465CA"/>
    <w:rsid w:val="050E26B0"/>
    <w:rsid w:val="052971A9"/>
    <w:rsid w:val="053224BF"/>
    <w:rsid w:val="05324E4B"/>
    <w:rsid w:val="05A625A8"/>
    <w:rsid w:val="05AF3B52"/>
    <w:rsid w:val="05F23A3F"/>
    <w:rsid w:val="062E0F1B"/>
    <w:rsid w:val="068103FA"/>
    <w:rsid w:val="068A7901"/>
    <w:rsid w:val="068B011B"/>
    <w:rsid w:val="0701218C"/>
    <w:rsid w:val="08000695"/>
    <w:rsid w:val="08C730D5"/>
    <w:rsid w:val="092E39DF"/>
    <w:rsid w:val="09673E3C"/>
    <w:rsid w:val="0A721B30"/>
    <w:rsid w:val="0A8F788E"/>
    <w:rsid w:val="0BFE1539"/>
    <w:rsid w:val="0C221D85"/>
    <w:rsid w:val="0C3628D7"/>
    <w:rsid w:val="0C3C52F4"/>
    <w:rsid w:val="0D386468"/>
    <w:rsid w:val="0D6E6CE6"/>
    <w:rsid w:val="0E06452B"/>
    <w:rsid w:val="0E6F3E7F"/>
    <w:rsid w:val="0E87566C"/>
    <w:rsid w:val="0EE76E01"/>
    <w:rsid w:val="0F16079E"/>
    <w:rsid w:val="0FF10C12"/>
    <w:rsid w:val="10230F9F"/>
    <w:rsid w:val="111B15B3"/>
    <w:rsid w:val="11FF551A"/>
    <w:rsid w:val="12004308"/>
    <w:rsid w:val="12097BE1"/>
    <w:rsid w:val="12187FE5"/>
    <w:rsid w:val="125A3535"/>
    <w:rsid w:val="12A52565"/>
    <w:rsid w:val="12CC61CB"/>
    <w:rsid w:val="12F2507E"/>
    <w:rsid w:val="13CF39F0"/>
    <w:rsid w:val="14656EF7"/>
    <w:rsid w:val="14921606"/>
    <w:rsid w:val="152534E9"/>
    <w:rsid w:val="16B05E71"/>
    <w:rsid w:val="17882EA5"/>
    <w:rsid w:val="18433A70"/>
    <w:rsid w:val="18695DE3"/>
    <w:rsid w:val="18795806"/>
    <w:rsid w:val="192C7142"/>
    <w:rsid w:val="195F062F"/>
    <w:rsid w:val="1A932AD1"/>
    <w:rsid w:val="1ABF7F3C"/>
    <w:rsid w:val="1ADF74F2"/>
    <w:rsid w:val="1D0E6F59"/>
    <w:rsid w:val="1D7E6D1E"/>
    <w:rsid w:val="1DA85478"/>
    <w:rsid w:val="1DD3548B"/>
    <w:rsid w:val="1DE756C6"/>
    <w:rsid w:val="1DED21D8"/>
    <w:rsid w:val="1F0E3DA5"/>
    <w:rsid w:val="1F7F74E9"/>
    <w:rsid w:val="1FB2006F"/>
    <w:rsid w:val="20160D49"/>
    <w:rsid w:val="20CE49AC"/>
    <w:rsid w:val="217F21D3"/>
    <w:rsid w:val="21C61BB0"/>
    <w:rsid w:val="21ED35E0"/>
    <w:rsid w:val="22C35EAF"/>
    <w:rsid w:val="22F75C0D"/>
    <w:rsid w:val="230C5CE8"/>
    <w:rsid w:val="2432177F"/>
    <w:rsid w:val="245060A9"/>
    <w:rsid w:val="24C20D54"/>
    <w:rsid w:val="25114177"/>
    <w:rsid w:val="25C96113"/>
    <w:rsid w:val="26595300"/>
    <w:rsid w:val="26CC5F32"/>
    <w:rsid w:val="271D5F0A"/>
    <w:rsid w:val="276C144B"/>
    <w:rsid w:val="27F77C70"/>
    <w:rsid w:val="287D3B77"/>
    <w:rsid w:val="290F7096"/>
    <w:rsid w:val="2A1738F0"/>
    <w:rsid w:val="2A7C0E4C"/>
    <w:rsid w:val="2AA74552"/>
    <w:rsid w:val="2AF17400"/>
    <w:rsid w:val="2B0F6376"/>
    <w:rsid w:val="2B1A7EED"/>
    <w:rsid w:val="2B7E74E8"/>
    <w:rsid w:val="2BAA0794"/>
    <w:rsid w:val="2BD879DD"/>
    <w:rsid w:val="2C215763"/>
    <w:rsid w:val="2C831077"/>
    <w:rsid w:val="2CA62C6E"/>
    <w:rsid w:val="2DCF44E2"/>
    <w:rsid w:val="2E1B296B"/>
    <w:rsid w:val="2E262354"/>
    <w:rsid w:val="2E552C39"/>
    <w:rsid w:val="2F8B25F1"/>
    <w:rsid w:val="30843362"/>
    <w:rsid w:val="326276D3"/>
    <w:rsid w:val="339A10EE"/>
    <w:rsid w:val="33B757FC"/>
    <w:rsid w:val="33B83430"/>
    <w:rsid w:val="3437693D"/>
    <w:rsid w:val="35C91DF7"/>
    <w:rsid w:val="36623A07"/>
    <w:rsid w:val="3699568D"/>
    <w:rsid w:val="36BF1C5A"/>
    <w:rsid w:val="36CA5847"/>
    <w:rsid w:val="37141D64"/>
    <w:rsid w:val="371F2036"/>
    <w:rsid w:val="38357FF9"/>
    <w:rsid w:val="38614540"/>
    <w:rsid w:val="38A7470F"/>
    <w:rsid w:val="38C26B8B"/>
    <w:rsid w:val="38DC3049"/>
    <w:rsid w:val="3A7E52C6"/>
    <w:rsid w:val="3AA6016F"/>
    <w:rsid w:val="3AF236EA"/>
    <w:rsid w:val="3B273268"/>
    <w:rsid w:val="3B5B541E"/>
    <w:rsid w:val="3B626996"/>
    <w:rsid w:val="3B787F67"/>
    <w:rsid w:val="3B876258"/>
    <w:rsid w:val="3C1625E5"/>
    <w:rsid w:val="3D3B749E"/>
    <w:rsid w:val="3DB03FCF"/>
    <w:rsid w:val="3DFC38D5"/>
    <w:rsid w:val="3E442382"/>
    <w:rsid w:val="3F6A7359"/>
    <w:rsid w:val="40BE1D68"/>
    <w:rsid w:val="417C1216"/>
    <w:rsid w:val="41970A1B"/>
    <w:rsid w:val="41A5138A"/>
    <w:rsid w:val="41D775CC"/>
    <w:rsid w:val="42110B43"/>
    <w:rsid w:val="423B7BF3"/>
    <w:rsid w:val="42515CBA"/>
    <w:rsid w:val="426013AE"/>
    <w:rsid w:val="42B86E9B"/>
    <w:rsid w:val="42DF518A"/>
    <w:rsid w:val="431762B8"/>
    <w:rsid w:val="43DD1E03"/>
    <w:rsid w:val="441143CC"/>
    <w:rsid w:val="441C3368"/>
    <w:rsid w:val="4420585E"/>
    <w:rsid w:val="4427077C"/>
    <w:rsid w:val="44427685"/>
    <w:rsid w:val="448252F0"/>
    <w:rsid w:val="47A65E5C"/>
    <w:rsid w:val="47C00CCC"/>
    <w:rsid w:val="47D66741"/>
    <w:rsid w:val="4819246C"/>
    <w:rsid w:val="48194B54"/>
    <w:rsid w:val="4880293C"/>
    <w:rsid w:val="48C60564"/>
    <w:rsid w:val="49042E3A"/>
    <w:rsid w:val="49494CF1"/>
    <w:rsid w:val="49730518"/>
    <w:rsid w:val="4BD50ABE"/>
    <w:rsid w:val="4C001FDF"/>
    <w:rsid w:val="4DC42B98"/>
    <w:rsid w:val="4F4918BD"/>
    <w:rsid w:val="4F5E5CF3"/>
    <w:rsid w:val="4F7B1510"/>
    <w:rsid w:val="4F9A62A6"/>
    <w:rsid w:val="50F32112"/>
    <w:rsid w:val="514D61C2"/>
    <w:rsid w:val="518A3E70"/>
    <w:rsid w:val="518A6447"/>
    <w:rsid w:val="52293911"/>
    <w:rsid w:val="522B5E7C"/>
    <w:rsid w:val="523E5075"/>
    <w:rsid w:val="531558BC"/>
    <w:rsid w:val="53EB539E"/>
    <w:rsid w:val="5422054D"/>
    <w:rsid w:val="54A320E7"/>
    <w:rsid w:val="54D11CCC"/>
    <w:rsid w:val="54D76DBD"/>
    <w:rsid w:val="550B6A44"/>
    <w:rsid w:val="55120D38"/>
    <w:rsid w:val="56710C02"/>
    <w:rsid w:val="56CE6835"/>
    <w:rsid w:val="572A5C41"/>
    <w:rsid w:val="57580F21"/>
    <w:rsid w:val="592F6FD8"/>
    <w:rsid w:val="59B73BAB"/>
    <w:rsid w:val="59C363FA"/>
    <w:rsid w:val="5A113609"/>
    <w:rsid w:val="5AC541CC"/>
    <w:rsid w:val="5ACA4DFD"/>
    <w:rsid w:val="5B0176E4"/>
    <w:rsid w:val="5B9A423C"/>
    <w:rsid w:val="5D445AA3"/>
    <w:rsid w:val="5E714676"/>
    <w:rsid w:val="5E9D546B"/>
    <w:rsid w:val="5EC70E7C"/>
    <w:rsid w:val="5ED209B4"/>
    <w:rsid w:val="60A10CF9"/>
    <w:rsid w:val="612754C0"/>
    <w:rsid w:val="613A3445"/>
    <w:rsid w:val="6235591B"/>
    <w:rsid w:val="62B17737"/>
    <w:rsid w:val="63415520"/>
    <w:rsid w:val="63E35365"/>
    <w:rsid w:val="63EE6769"/>
    <w:rsid w:val="640F0BB9"/>
    <w:rsid w:val="6562503C"/>
    <w:rsid w:val="65C31A5C"/>
    <w:rsid w:val="668317FE"/>
    <w:rsid w:val="67B5251D"/>
    <w:rsid w:val="67C365D4"/>
    <w:rsid w:val="687716F6"/>
    <w:rsid w:val="690D143F"/>
    <w:rsid w:val="69392B6E"/>
    <w:rsid w:val="69E02BA4"/>
    <w:rsid w:val="69F745C9"/>
    <w:rsid w:val="6A0359B4"/>
    <w:rsid w:val="6A114F5F"/>
    <w:rsid w:val="6A65190A"/>
    <w:rsid w:val="6AC25458"/>
    <w:rsid w:val="6B25645F"/>
    <w:rsid w:val="6C040369"/>
    <w:rsid w:val="6C8C6991"/>
    <w:rsid w:val="6CD05FD1"/>
    <w:rsid w:val="70E01533"/>
    <w:rsid w:val="70E114A5"/>
    <w:rsid w:val="70F52402"/>
    <w:rsid w:val="714E5FA0"/>
    <w:rsid w:val="71593474"/>
    <w:rsid w:val="71D80BFD"/>
    <w:rsid w:val="72B02765"/>
    <w:rsid w:val="73112992"/>
    <w:rsid w:val="73DB2351"/>
    <w:rsid w:val="756E3C30"/>
    <w:rsid w:val="76796366"/>
    <w:rsid w:val="77A60B2B"/>
    <w:rsid w:val="7A3A36CD"/>
    <w:rsid w:val="7A4153ED"/>
    <w:rsid w:val="7ABD27F2"/>
    <w:rsid w:val="7B7A36AA"/>
    <w:rsid w:val="7B7B72E7"/>
    <w:rsid w:val="7BF546E1"/>
    <w:rsid w:val="7C4D62CB"/>
    <w:rsid w:val="7C5424EB"/>
    <w:rsid w:val="7CB9570E"/>
    <w:rsid w:val="7E3037AE"/>
    <w:rsid w:val="7E472F47"/>
    <w:rsid w:val="7F0C2270"/>
    <w:rsid w:val="7FE2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
      <w:bCs/>
      <w:sz w:val="24"/>
      <w:szCs w:val="20"/>
    </w:rPr>
  </w:style>
  <w:style w:type="paragraph" w:styleId="4">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w:basedOn w:val="1"/>
    <w:next w:val="1"/>
    <w:link w:val="60"/>
    <w:qFormat/>
    <w:uiPriority w:val="99"/>
    <w:pPr>
      <w:spacing w:after="120"/>
    </w:pPr>
  </w:style>
  <w:style w:type="paragraph" w:styleId="18">
    <w:name w:val="Body Text Indent"/>
    <w:basedOn w:val="1"/>
    <w:link w:val="63"/>
    <w:qFormat/>
    <w:uiPriority w:val="0"/>
    <w:pPr>
      <w:spacing w:after="120"/>
      <w:ind w:left="420" w:leftChars="200"/>
    </w:pPr>
  </w:style>
  <w:style w:type="paragraph" w:styleId="19">
    <w:name w:val="Block Text"/>
    <w:basedOn w:val="1"/>
    <w:qFormat/>
    <w:uiPriority w:val="0"/>
    <w:pPr>
      <w:ind w:left="1171" w:right="91" w:hanging="1080"/>
    </w:pPr>
    <w:rPr>
      <w:rFonts w:eastAsia="楷体_GB2312"/>
      <w:szCs w:val="20"/>
    </w:rPr>
  </w:style>
  <w:style w:type="paragraph" w:styleId="20">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1">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2">
    <w:name w:val="Plain Text"/>
    <w:basedOn w:val="1"/>
    <w:link w:val="65"/>
    <w:qFormat/>
    <w:uiPriority w:val="0"/>
    <w:rPr>
      <w:rFonts w:ascii="宋体" w:hAnsi="Courier New" w:cs="Courier New"/>
      <w:szCs w:val="21"/>
    </w:rPr>
  </w:style>
  <w:style w:type="paragraph" w:styleId="2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4">
    <w:name w:val="Date"/>
    <w:basedOn w:val="1"/>
    <w:next w:val="1"/>
    <w:link w:val="76"/>
    <w:qFormat/>
    <w:uiPriority w:val="0"/>
    <w:rPr>
      <w:sz w:val="24"/>
      <w:szCs w:val="20"/>
    </w:rPr>
  </w:style>
  <w:style w:type="paragraph" w:styleId="25">
    <w:name w:val="Body Text Indent 2"/>
    <w:basedOn w:val="1"/>
    <w:link w:val="73"/>
    <w:qFormat/>
    <w:uiPriority w:val="0"/>
    <w:pPr>
      <w:spacing w:after="120" w:line="480" w:lineRule="auto"/>
      <w:ind w:left="420" w:leftChars="200"/>
    </w:pPr>
  </w:style>
  <w:style w:type="paragraph" w:styleId="26">
    <w:name w:val="Balloon Text"/>
    <w:basedOn w:val="1"/>
    <w:link w:val="89"/>
    <w:qFormat/>
    <w:uiPriority w:val="0"/>
    <w:rPr>
      <w:sz w:val="18"/>
      <w:szCs w:val="18"/>
    </w:rPr>
  </w:style>
  <w:style w:type="paragraph" w:styleId="27">
    <w:name w:val="footer"/>
    <w:basedOn w:val="1"/>
    <w:link w:val="61"/>
    <w:qFormat/>
    <w:uiPriority w:val="99"/>
    <w:pPr>
      <w:tabs>
        <w:tab w:val="center" w:pos="4153"/>
        <w:tab w:val="right" w:pos="8306"/>
      </w:tabs>
      <w:snapToGrid w:val="0"/>
      <w:jc w:val="left"/>
    </w:pPr>
    <w:rPr>
      <w:sz w:val="18"/>
      <w:szCs w:val="18"/>
    </w:rPr>
  </w:style>
  <w:style w:type="paragraph" w:styleId="28">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9">
    <w:name w:val="toc 1"/>
    <w:basedOn w:val="1"/>
    <w:next w:val="1"/>
    <w:qFormat/>
    <w:uiPriority w:val="39"/>
    <w:pPr>
      <w:spacing w:line="360" w:lineRule="auto"/>
      <w:jc w:val="left"/>
    </w:pPr>
    <w:rPr>
      <w:rFonts w:eastAsia="黑体" w:asciiTheme="minorEastAsia" w:hAnsiTheme="minorEastAsia"/>
      <w:sz w:val="32"/>
      <w:szCs w:val="21"/>
    </w:rPr>
  </w:style>
  <w:style w:type="paragraph" w:styleId="30">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1">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2">
    <w:name w:val="toc 6"/>
    <w:basedOn w:val="1"/>
    <w:next w:val="1"/>
    <w:qFormat/>
    <w:uiPriority w:val="39"/>
    <w:pPr>
      <w:ind w:left="2100"/>
    </w:pPr>
    <w:rPr>
      <w:szCs w:val="20"/>
    </w:rPr>
  </w:style>
  <w:style w:type="paragraph" w:styleId="33">
    <w:name w:val="Body Text Indent 3"/>
    <w:basedOn w:val="1"/>
    <w:link w:val="75"/>
    <w:qFormat/>
    <w:uiPriority w:val="0"/>
    <w:pPr>
      <w:spacing w:after="120"/>
      <w:ind w:left="420" w:leftChars="200"/>
    </w:pPr>
    <w:rPr>
      <w:sz w:val="16"/>
      <w:szCs w:val="16"/>
    </w:rPr>
  </w:style>
  <w:style w:type="paragraph" w:styleId="34">
    <w:name w:val="toc 2"/>
    <w:basedOn w:val="1"/>
    <w:next w:val="1"/>
    <w:unhideWhenUsed/>
    <w:qFormat/>
    <w:uiPriority w:val="39"/>
    <w:pPr>
      <w:spacing w:line="360" w:lineRule="auto"/>
    </w:pPr>
    <w:rPr>
      <w:rFonts w:eastAsiaTheme="minorEastAsia"/>
      <w:b/>
      <w:sz w:val="28"/>
    </w:rPr>
  </w:style>
  <w:style w:type="paragraph" w:styleId="35">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6">
    <w:name w:val="Body Text 2"/>
    <w:basedOn w:val="1"/>
    <w:link w:val="72"/>
    <w:qFormat/>
    <w:uiPriority w:val="0"/>
    <w:pPr>
      <w:spacing w:after="120" w:line="480" w:lineRule="auto"/>
    </w:pPr>
  </w:style>
  <w:style w:type="paragraph" w:styleId="37">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9">
    <w:name w:val="index 1"/>
    <w:basedOn w:val="1"/>
    <w:next w:val="1"/>
    <w:qFormat/>
    <w:uiPriority w:val="0"/>
    <w:pPr>
      <w:spacing w:line="220" w:lineRule="exact"/>
      <w:jc w:val="center"/>
    </w:pPr>
    <w:rPr>
      <w:rFonts w:ascii="仿宋_GB2312" w:eastAsia="仿宋_GB2312"/>
      <w:szCs w:val="20"/>
    </w:rPr>
  </w:style>
  <w:style w:type="paragraph" w:styleId="40">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1">
    <w:name w:val="annotation subject"/>
    <w:basedOn w:val="15"/>
    <w:next w:val="15"/>
    <w:link w:val="88"/>
    <w:qFormat/>
    <w:uiPriority w:val="0"/>
    <w:rPr>
      <w:b/>
      <w:bCs/>
    </w:rPr>
  </w:style>
  <w:style w:type="table" w:styleId="43">
    <w:name w:val="Table Grid"/>
    <w:basedOn w:val="4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22"/>
    <w:rPr>
      <w:b/>
      <w:bCs/>
    </w:rPr>
  </w:style>
  <w:style w:type="character" w:styleId="46">
    <w:name w:val="page number"/>
    <w:basedOn w:val="44"/>
    <w:qFormat/>
    <w:uiPriority w:val="0"/>
  </w:style>
  <w:style w:type="character" w:styleId="47">
    <w:name w:val="FollowedHyperlink"/>
    <w:qFormat/>
    <w:uiPriority w:val="0"/>
    <w:rPr>
      <w:color w:val="800080"/>
      <w:u w:val="single"/>
    </w:rPr>
  </w:style>
  <w:style w:type="character" w:styleId="48">
    <w:name w:val="Hyperlink"/>
    <w:qFormat/>
    <w:uiPriority w:val="99"/>
    <w:rPr>
      <w:color w:val="136EC2"/>
      <w:u w:val="single"/>
    </w:rPr>
  </w:style>
  <w:style w:type="character" w:styleId="49">
    <w:name w:val="annotation reference"/>
    <w:qFormat/>
    <w:uiPriority w:val="0"/>
    <w:rPr>
      <w:sz w:val="21"/>
      <w:szCs w:val="21"/>
    </w:rPr>
  </w:style>
  <w:style w:type="character" w:customStyle="1" w:styleId="50">
    <w:name w:val="标题 1 字符1"/>
    <w:basedOn w:val="44"/>
    <w:link w:val="3"/>
    <w:qFormat/>
    <w:uiPriority w:val="0"/>
    <w:rPr>
      <w:rFonts w:ascii="Times New Roman" w:hAnsi="Times New Roman" w:eastAsia="宋体" w:cs="Times New Roman"/>
      <w:b/>
      <w:bCs/>
      <w:sz w:val="24"/>
      <w:szCs w:val="20"/>
    </w:rPr>
  </w:style>
  <w:style w:type="character" w:customStyle="1" w:styleId="51">
    <w:name w:val="标题 2 字符1"/>
    <w:basedOn w:val="44"/>
    <w:link w:val="4"/>
    <w:qFormat/>
    <w:uiPriority w:val="0"/>
    <w:rPr>
      <w:rFonts w:ascii="Arial" w:hAnsi="Arial" w:eastAsia="方正小标宋简体" w:cs="Times New Roman"/>
      <w:b/>
      <w:bCs/>
      <w:kern w:val="2"/>
      <w:sz w:val="44"/>
      <w:szCs w:val="32"/>
    </w:rPr>
  </w:style>
  <w:style w:type="character" w:customStyle="1" w:styleId="52">
    <w:name w:val="标题 3 字符"/>
    <w:basedOn w:val="44"/>
    <w:link w:val="5"/>
    <w:qFormat/>
    <w:uiPriority w:val="0"/>
    <w:rPr>
      <w:rFonts w:ascii="Times New Roman" w:hAnsi="Times New Roman" w:eastAsia="黑体" w:cs="Times New Roman"/>
      <w:b/>
      <w:bCs/>
      <w:kern w:val="2"/>
      <w:sz w:val="32"/>
      <w:szCs w:val="32"/>
    </w:rPr>
  </w:style>
  <w:style w:type="character" w:customStyle="1" w:styleId="53">
    <w:name w:val="标题 4 字符1"/>
    <w:basedOn w:val="44"/>
    <w:link w:val="6"/>
    <w:qFormat/>
    <w:uiPriority w:val="0"/>
    <w:rPr>
      <w:rFonts w:ascii="Arial" w:hAnsi="Arial" w:eastAsia="黑体" w:cs="Times New Roman"/>
      <w:b/>
      <w:bCs/>
      <w:sz w:val="28"/>
      <w:szCs w:val="28"/>
    </w:rPr>
  </w:style>
  <w:style w:type="character" w:customStyle="1" w:styleId="54">
    <w:name w:val="标题 5 字符"/>
    <w:basedOn w:val="44"/>
    <w:link w:val="7"/>
    <w:qFormat/>
    <w:uiPriority w:val="0"/>
    <w:rPr>
      <w:rFonts w:ascii="Times New Roman" w:hAnsi="Times New Roman" w:eastAsia="宋体" w:cs="Times New Roman"/>
      <w:b/>
      <w:bCs/>
      <w:kern w:val="0"/>
      <w:sz w:val="28"/>
      <w:szCs w:val="28"/>
    </w:rPr>
  </w:style>
  <w:style w:type="character" w:customStyle="1" w:styleId="55">
    <w:name w:val="标题 6 字符"/>
    <w:basedOn w:val="44"/>
    <w:link w:val="8"/>
    <w:qFormat/>
    <w:uiPriority w:val="0"/>
    <w:rPr>
      <w:rFonts w:ascii="Arial" w:hAnsi="Arial" w:eastAsia="黑体" w:cs="Times New Roman"/>
      <w:b/>
      <w:bCs/>
      <w:kern w:val="0"/>
      <w:sz w:val="24"/>
      <w:szCs w:val="24"/>
    </w:rPr>
  </w:style>
  <w:style w:type="character" w:customStyle="1" w:styleId="56">
    <w:name w:val="标题 7 字符"/>
    <w:basedOn w:val="44"/>
    <w:link w:val="9"/>
    <w:qFormat/>
    <w:uiPriority w:val="0"/>
    <w:rPr>
      <w:rFonts w:ascii="Times New Roman" w:hAnsi="Times New Roman" w:eastAsia="宋体" w:cs="Times New Roman"/>
      <w:b/>
      <w:bCs/>
      <w:kern w:val="0"/>
      <w:sz w:val="24"/>
      <w:szCs w:val="24"/>
    </w:rPr>
  </w:style>
  <w:style w:type="character" w:customStyle="1" w:styleId="57">
    <w:name w:val="标题 8 字符"/>
    <w:basedOn w:val="44"/>
    <w:link w:val="10"/>
    <w:qFormat/>
    <w:uiPriority w:val="0"/>
    <w:rPr>
      <w:rFonts w:ascii="Arial" w:hAnsi="Arial" w:eastAsia="黑体" w:cs="Times New Roman"/>
      <w:kern w:val="0"/>
      <w:sz w:val="24"/>
      <w:szCs w:val="24"/>
    </w:rPr>
  </w:style>
  <w:style w:type="character" w:customStyle="1" w:styleId="58">
    <w:name w:val="标题 9 字符"/>
    <w:basedOn w:val="44"/>
    <w:link w:val="11"/>
    <w:qFormat/>
    <w:uiPriority w:val="0"/>
    <w:rPr>
      <w:rFonts w:ascii="Arial" w:hAnsi="Arial" w:eastAsia="黑体" w:cs="Times New Roman"/>
      <w:kern w:val="0"/>
      <w:szCs w:val="21"/>
    </w:rPr>
  </w:style>
  <w:style w:type="paragraph" w:customStyle="1" w:styleId="59">
    <w:name w:val="表格内容"/>
    <w:basedOn w:val="17"/>
    <w:qFormat/>
    <w:uiPriority w:val="0"/>
    <w:pPr>
      <w:suppressLineNumbers/>
      <w:suppressAutoHyphens/>
      <w:jc w:val="left"/>
    </w:pPr>
    <w:rPr>
      <w:rFonts w:cs="Tahoma"/>
      <w:kern w:val="0"/>
      <w:sz w:val="24"/>
    </w:rPr>
  </w:style>
  <w:style w:type="character" w:customStyle="1" w:styleId="60">
    <w:name w:val="正文文本 字符1"/>
    <w:basedOn w:val="44"/>
    <w:link w:val="17"/>
    <w:qFormat/>
    <w:uiPriority w:val="0"/>
    <w:rPr>
      <w:rFonts w:ascii="Times New Roman" w:hAnsi="Times New Roman" w:eastAsia="宋体" w:cs="Times New Roman"/>
      <w:szCs w:val="24"/>
    </w:rPr>
  </w:style>
  <w:style w:type="character" w:customStyle="1" w:styleId="61">
    <w:name w:val="页脚 字符1"/>
    <w:basedOn w:val="44"/>
    <w:link w:val="27"/>
    <w:qFormat/>
    <w:uiPriority w:val="99"/>
    <w:rPr>
      <w:rFonts w:ascii="Times New Roman" w:hAnsi="Times New Roman" w:eastAsia="宋体" w:cs="Times New Roman"/>
      <w:sz w:val="18"/>
      <w:szCs w:val="18"/>
    </w:rPr>
  </w:style>
  <w:style w:type="character" w:customStyle="1" w:styleId="62">
    <w:name w:val="页眉 字符1"/>
    <w:basedOn w:val="44"/>
    <w:link w:val="28"/>
    <w:qFormat/>
    <w:uiPriority w:val="99"/>
    <w:rPr>
      <w:rFonts w:ascii="Times New Roman" w:hAnsi="Times New Roman" w:eastAsia="宋体" w:cs="Times New Roman"/>
      <w:sz w:val="18"/>
      <w:szCs w:val="18"/>
    </w:rPr>
  </w:style>
  <w:style w:type="character" w:customStyle="1" w:styleId="63">
    <w:name w:val="正文文本缩进 字符1"/>
    <w:basedOn w:val="44"/>
    <w:link w:val="18"/>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4"/>
    <w:link w:val="22"/>
    <w:qFormat/>
    <w:uiPriority w:val="0"/>
    <w:rPr>
      <w:rFonts w:ascii="宋体" w:hAnsi="Courier New" w:eastAsia="宋体" w:cs="Courier New"/>
      <w:szCs w:val="21"/>
    </w:rPr>
  </w:style>
  <w:style w:type="character" w:customStyle="1" w:styleId="66">
    <w:name w:val="批注文字 字符1"/>
    <w:basedOn w:val="44"/>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4"/>
    <w:link w:val="37"/>
    <w:qFormat/>
    <w:uiPriority w:val="0"/>
    <w:rPr>
      <w:rFonts w:ascii="Arial" w:hAnsi="Arial" w:eastAsia="宋体" w:cs="Arial"/>
      <w:kern w:val="0"/>
      <w:sz w:val="24"/>
      <w:szCs w:val="24"/>
    </w:rPr>
  </w:style>
  <w:style w:type="character" w:customStyle="1" w:styleId="71">
    <w:name w:val="称呼 字符"/>
    <w:basedOn w:val="44"/>
    <w:link w:val="16"/>
    <w:qFormat/>
    <w:uiPriority w:val="0"/>
    <w:rPr>
      <w:rFonts w:ascii="仿宋_GB2312" w:hAnsi="Times New Roman" w:eastAsia="仿宋_GB2312" w:cs="Times New Roman"/>
      <w:sz w:val="24"/>
      <w:szCs w:val="24"/>
    </w:rPr>
  </w:style>
  <w:style w:type="character" w:customStyle="1" w:styleId="72">
    <w:name w:val="正文文本 2 字符1"/>
    <w:basedOn w:val="44"/>
    <w:link w:val="36"/>
    <w:qFormat/>
    <w:uiPriority w:val="0"/>
    <w:rPr>
      <w:rFonts w:ascii="Times New Roman" w:hAnsi="Times New Roman" w:eastAsia="宋体" w:cs="Times New Roman"/>
      <w:szCs w:val="24"/>
    </w:rPr>
  </w:style>
  <w:style w:type="character" w:customStyle="1" w:styleId="73">
    <w:name w:val="正文文本缩进 2 字符1"/>
    <w:basedOn w:val="44"/>
    <w:link w:val="25"/>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4"/>
    <w:link w:val="33"/>
    <w:qFormat/>
    <w:uiPriority w:val="0"/>
    <w:rPr>
      <w:rFonts w:ascii="Times New Roman" w:hAnsi="Times New Roman" w:eastAsia="宋体" w:cs="Times New Roman"/>
      <w:sz w:val="16"/>
      <w:szCs w:val="16"/>
    </w:rPr>
  </w:style>
  <w:style w:type="character" w:customStyle="1" w:styleId="76">
    <w:name w:val="日期 字符"/>
    <w:basedOn w:val="44"/>
    <w:link w:val="24"/>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4"/>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1"/>
    <w:qFormat/>
    <w:uiPriority w:val="0"/>
    <w:rPr>
      <w:rFonts w:ascii="Times New Roman" w:hAnsi="Times New Roman" w:eastAsia="宋体" w:cs="Times New Roman"/>
      <w:b/>
      <w:bCs/>
      <w:szCs w:val="24"/>
    </w:rPr>
  </w:style>
  <w:style w:type="character" w:customStyle="1" w:styleId="89">
    <w:name w:val="批注框文本 字符1"/>
    <w:basedOn w:val="44"/>
    <w:link w:val="26"/>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4"/>
    <w:qFormat/>
    <w:uiPriority w:val="0"/>
    <w:rPr>
      <w:rFonts w:hint="eastAsia" w:ascii="宋体" w:hAnsi="宋体" w:eastAsia="宋体"/>
      <w:color w:val="000000"/>
      <w:sz w:val="24"/>
      <w:szCs w:val="24"/>
    </w:rPr>
  </w:style>
  <w:style w:type="character" w:customStyle="1" w:styleId="101">
    <w:name w:val="fontstyle11"/>
    <w:basedOn w:val="44"/>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4"/>
    <w:qFormat/>
    <w:uiPriority w:val="0"/>
    <w:rPr>
      <w:rFonts w:hint="eastAsia" w:ascii="宋体" w:hAnsi="宋体" w:eastAsia="宋体"/>
      <w:color w:val="993300"/>
      <w:sz w:val="24"/>
      <w:szCs w:val="24"/>
    </w:rPr>
  </w:style>
  <w:style w:type="character" w:customStyle="1" w:styleId="104">
    <w:name w:val="fontstyle31"/>
    <w:basedOn w:val="44"/>
    <w:qFormat/>
    <w:uiPriority w:val="0"/>
    <w:rPr>
      <w:rFonts w:hint="default" w:ascii="Arial" w:hAnsi="Arial" w:cs="Arial"/>
      <w:color w:val="993300"/>
      <w:sz w:val="24"/>
      <w:szCs w:val="24"/>
    </w:rPr>
  </w:style>
  <w:style w:type="character" w:customStyle="1" w:styleId="105">
    <w:name w:val="列出段落 字符"/>
    <w:link w:val="99"/>
    <w:qFormat/>
    <w:uiPriority w:val="0"/>
    <w:rPr>
      <w:rFonts w:ascii="Times New Roman" w:hAnsi="Times New Roman" w:eastAsia="宋体" w:cs="Times New Roman"/>
      <w:szCs w:val="24"/>
    </w:rPr>
  </w:style>
  <w:style w:type="character" w:customStyle="1" w:styleId="106">
    <w:name w:val="标题 字符1"/>
    <w:link w:val="40"/>
    <w:qFormat/>
    <w:uiPriority w:val="0"/>
    <w:rPr>
      <w:b/>
      <w:sz w:val="32"/>
    </w:rPr>
  </w:style>
  <w:style w:type="character" w:customStyle="1" w:styleId="107">
    <w:name w:val="标题 Char1"/>
    <w:basedOn w:val="44"/>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4"/>
    <w:qFormat/>
    <w:uiPriority w:val="11"/>
    <w:rPr>
      <w:rFonts w:eastAsia="宋体" w:asciiTheme="majorHAnsi" w:hAnsiTheme="majorHAnsi" w:cstheme="majorBidi"/>
      <w:b/>
      <w:bCs/>
      <w:kern w:val="28"/>
      <w:sz w:val="32"/>
      <w:szCs w:val="32"/>
    </w:rPr>
  </w:style>
  <w:style w:type="character" w:customStyle="1" w:styleId="142">
    <w:name w:val="副标题 字符"/>
    <w:link w:val="31"/>
    <w:qFormat/>
    <w:uiPriority w:val="0"/>
    <w:rPr>
      <w:rFonts w:ascii="等线 Light" w:hAnsi="等线 Light" w:eastAsia="宋体" w:cs="Times New Roman"/>
      <w:b/>
      <w:bCs/>
      <w:kern w:val="28"/>
      <w:sz w:val="32"/>
      <w:szCs w:val="32"/>
    </w:rPr>
  </w:style>
  <w:style w:type="character" w:customStyle="1" w:styleId="143">
    <w:name w:val="未处理的提及1"/>
    <w:basedOn w:val="44"/>
    <w:semiHidden/>
    <w:unhideWhenUsed/>
    <w:qFormat/>
    <w:uiPriority w:val="99"/>
    <w:rPr>
      <w:color w:val="605E5C"/>
      <w:shd w:val="clear" w:color="auto" w:fill="E1DFDD"/>
    </w:rPr>
  </w:style>
  <w:style w:type="character" w:customStyle="1" w:styleId="144">
    <w:name w:val="未处理的提及2"/>
    <w:basedOn w:val="44"/>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4"/>
    <w:semiHidden/>
    <w:unhideWhenUsed/>
    <w:qFormat/>
    <w:uiPriority w:val="99"/>
    <w:rPr>
      <w:color w:val="605E5C"/>
      <w:shd w:val="clear" w:color="auto" w:fill="E1DFDD"/>
    </w:rPr>
  </w:style>
  <w:style w:type="paragraph" w:customStyle="1" w:styleId="148">
    <w:name w:val="Revision"/>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4"/>
    <w:semiHidden/>
    <w:unhideWhenUsed/>
    <w:qFormat/>
    <w:uiPriority w:val="99"/>
    <w:rPr>
      <w:color w:val="605E5C"/>
      <w:shd w:val="clear" w:color="auto" w:fill="E1DFDD"/>
    </w:rPr>
  </w:style>
  <w:style w:type="character" w:customStyle="1" w:styleId="151">
    <w:name w:val="font51"/>
    <w:basedOn w:val="44"/>
    <w:qFormat/>
    <w:uiPriority w:val="0"/>
    <w:rPr>
      <w:rFonts w:hint="eastAsia" w:ascii="黑体" w:hAnsi="宋体" w:eastAsia="黑体" w:cs="黑体"/>
      <w:color w:val="000000"/>
      <w:sz w:val="20"/>
      <w:szCs w:val="20"/>
      <w:u w:val="none"/>
    </w:rPr>
  </w:style>
  <w:style w:type="character" w:customStyle="1" w:styleId="152">
    <w:name w:val="font21"/>
    <w:basedOn w:val="44"/>
    <w:qFormat/>
    <w:uiPriority w:val="0"/>
    <w:rPr>
      <w:rFonts w:hint="eastAsia" w:ascii="黑体" w:hAnsi="宋体" w:eastAsia="黑体" w:cs="黑体"/>
      <w:color w:val="00B050"/>
      <w:sz w:val="20"/>
      <w:szCs w:val="20"/>
      <w:u w:val="none"/>
    </w:rPr>
  </w:style>
  <w:style w:type="character" w:customStyle="1" w:styleId="153">
    <w:name w:val="font61"/>
    <w:basedOn w:val="44"/>
    <w:qFormat/>
    <w:uiPriority w:val="0"/>
    <w:rPr>
      <w:rFonts w:ascii="Calibri" w:hAnsi="Calibri" w:cs="Calibri"/>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BD3D8F-B87D-4E44-A964-C639EE126A34}">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Pages>
  <Words>7947</Words>
  <Characters>45301</Characters>
  <Lines>377</Lines>
  <Paragraphs>106</Paragraphs>
  <TotalTime>0</TotalTime>
  <ScaleCrop>false</ScaleCrop>
  <LinksUpToDate>false</LinksUpToDate>
  <CharactersWithSpaces>53142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DOCTOR</cp:lastModifiedBy>
  <cp:lastPrinted>2025-09-05T02:03:00Z</cp:lastPrinted>
  <dcterms:modified xsi:type="dcterms:W3CDTF">2025-09-10T00:49:02Z</dcterms:modified>
  <cp:revision>913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749374B54A7546458819C61E9DDB2F24</vt:lpwstr>
  </property>
</Properties>
</file>