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0" w:name="_Toc6602"/>
      <w:bookmarkStart w:id="1" w:name="_Toc9824"/>
      <w:bookmarkStart w:id="2" w:name="_Toc112681847"/>
      <w:bookmarkStart w:id="3" w:name="_Toc132191258"/>
      <w:bookmarkStart w:id="4" w:name="_Toc130888006"/>
      <w:bookmarkStart w:id="5" w:name="_Toc128154367"/>
      <w:bookmarkStart w:id="6" w:name="_Toc13168"/>
      <w:bookmarkStart w:id="7" w:name="_Toc14060"/>
      <w:bookmarkStart w:id="8" w:name="_Toc32238"/>
      <w:bookmarkStart w:id="9" w:name="_Toc132186974"/>
      <w:bookmarkStart w:id="10" w:name="_Toc22977"/>
      <w:bookmarkStart w:id="11" w:name="_Toc112768493"/>
      <w:bookmarkStart w:id="12" w:name="_Toc150421247"/>
      <w:bookmarkStart w:id="13" w:name="_Toc128470294"/>
      <w:bookmarkStart w:id="14" w:name="_Toc22203"/>
      <w:bookmarkStart w:id="15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tbl>
      <w:tblPr>
        <w:tblStyle w:val="5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7"/>
        <w:gridCol w:w="994"/>
        <w:gridCol w:w="637"/>
        <w:gridCol w:w="5184"/>
        <w:gridCol w:w="88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签订合同付（预付）0%，物资到货（服务完成）验收合格并协助办理资产入库后，6个月内付95%。验收合格且出质保期后无质量问题支付剩余5%（不超过5%）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售后服务5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（物联网）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企业配合院方免费接入院内相关信息系统（包含但不限于免费提供接口或系统升级）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1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保密要求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firstLine="220" w:firstLineChars="10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</w:rPr>
      </w:pPr>
    </w:p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bookmarkEnd w:id="15"/>
    <w:p>
      <w:pPr>
        <w:pStyle w:val="3"/>
        <w:numPr>
          <w:ilvl w:val="0"/>
          <w:numId w:val="1"/>
        </w:numPr>
        <w:bidi w:val="0"/>
        <w:rPr>
          <w:rFonts w:hint="eastAsia"/>
          <w:b w:val="0"/>
          <w:bCs w:val="0"/>
        </w:rPr>
      </w:pPr>
      <w:bookmarkStart w:id="16" w:name="_Toc152057837"/>
      <w:bookmarkStart w:id="17" w:name="_Toc150418428"/>
      <w:bookmarkStart w:id="18" w:name="_Toc128151027"/>
      <w:bookmarkStart w:id="19" w:name="_Toc128150778"/>
      <w:bookmarkStart w:id="20" w:name="_Toc27583"/>
      <w:bookmarkStart w:id="21" w:name="_Toc127820564"/>
      <w:bookmarkStart w:id="22" w:name="_Toc128150134"/>
      <w:bookmarkStart w:id="23" w:name="_Toc12772"/>
      <w:bookmarkStart w:id="24" w:name="_Toc132190634"/>
      <w:bookmarkStart w:id="25" w:name="_Toc128397970"/>
      <w:bookmarkStart w:id="26" w:name="_Toc130887500"/>
      <w:r>
        <w:rPr>
          <w:rFonts w:hint="eastAsia"/>
          <w:b w:val="0"/>
          <w:bCs w:val="0"/>
        </w:rPr>
        <w:t>技术要求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2"/>
        <w:gridCol w:w="935"/>
        <w:gridCol w:w="595"/>
        <w:gridCol w:w="1411"/>
        <w:gridCol w:w="1681"/>
        <w:gridCol w:w="1706"/>
        <w:gridCol w:w="586"/>
        <w:gridCol w:w="84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9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2025-JQ06-W3238</w:t>
            </w:r>
          </w:p>
        </w:tc>
        <w:tc>
          <w:tcPr>
            <w:tcW w:w="8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盆底功能障碍治疗仪</w:t>
            </w:r>
          </w:p>
        </w:tc>
        <w:tc>
          <w:tcPr>
            <w:tcW w:w="10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8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用于女性生殖道损伤性疾病或子宫肌瘤的治疗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注册证或彩页或技术白皮书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工作频率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550KHz±40KHz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注册证或彩页或技术白皮书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治疗模式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至少具备凝固模式、双极模式、切割模式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整机功耗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≤1000W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噪声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≤70dB(A)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阻抗百分比显示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(100-999)%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测温范围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包含(15-120)℃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控温范围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包含(35-100)℃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治疗功率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包含(15-50)W，可实时显示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治疗计时显示功能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治疗电极温度监测功能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具有实时监测治疗温度功能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治疗电极尺寸规格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≥3种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短路保护功能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操作手柄防水功能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安全防护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达到预定温度或电极电缆中断时自动报警并停止治疗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分体式设计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主机和台车分体式设计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软件系统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系统终身免费升级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主机1台、台车1台、连接线缆1根、治疗电极5把（规格自选），一次性使用中性电极板20片，导光凝胶20支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3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88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409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□公开招标    □邀请招标    </w:t>
            </w:r>
            <w:r>
              <w:rPr>
                <w:rStyle w:val="7"/>
                <w:lang w:val="en-US" w:eastAsia="zh-CN" w:bidi="ar"/>
              </w:rPr>
              <w:t>R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竞争性谈判    □单一来源     □询价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评审方法</w:t>
            </w:r>
          </w:p>
        </w:tc>
        <w:tc>
          <w:tcPr>
            <w:tcW w:w="409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Wingdings 2" w:hAnsi="Wingdings 2" w:eastAsia="Wingdings 2" w:cs="Wingdings 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R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综合评分法      □质量优先法      □经评审的最低价法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35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409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▲标识的指标负偏离≥2项，投标企业技术分值为0分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3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9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▲标识的指标和“无标识”指标负偏离≥8项，投标企业技术分值为0分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注：1.★指标为必须响应指标，任意一项不满足要求即做废标处理；</w:t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2.★及▲标识的指标，无法明确的默认由企业提供承诺；</w:t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3.经济要求不接受企业负偏离。</w:t>
            </w:r>
          </w:p>
        </w:tc>
      </w:tr>
    </w:tbl>
    <w:p>
      <w:pPr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3"/>
        <w:gridCol w:w="2334"/>
        <w:gridCol w:w="1284"/>
        <w:gridCol w:w="1265"/>
        <w:gridCol w:w="854"/>
        <w:gridCol w:w="854"/>
        <w:gridCol w:w="87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盆底功能障碍治疗仪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54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2025-JQ06-W3238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447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※规格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射频消融电极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37.5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一次性使用中性电极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片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导光凝胶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注：1.预估2年用量为开展业务所需耗材（开展项目）的测算量，与设备购置数量无关；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2.计量单位为最小使用单位。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说明：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报价供应商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需对《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封闭耗材（试剂）用量测算表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》中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耗材（开展项目）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eastAsia="zh-CN"/>
        </w:rPr>
        <w:t>逐一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，需将各开展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项目所需全部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耗材（试剂）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或各封闭耗材（试剂）的不同型号全部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列明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报价，未列明的视为引进入院时免费提供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2.封闭耗材（试剂）需满足《封闭耗材（试剂）用量测算表》中“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封闭耗材（试剂）描述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”要求，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并提供相关证明材料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，不能提供或不符合要求的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视为无效报价；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非封闭耗材（试剂）（含证明材料不予认定的情况）所报价格不予计算，该项耗材（试剂）按缺项处理，如影响设备使用或导致项目无法开展的，视为无效报价；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.所投耗材按医疗器械管理的，须提供医疗器械注册证或备案凭证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，不按医疗器械管理的，需提供相关证明材料，不得使用已经停产产品，不符合以上要求的视为无效报价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.各项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总价不得超出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对应的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最高限价，超出则视为耗材报价无效，价格评审中耗材部分得0分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为医院目录内产品的，也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须一同报价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；中标后需对目录内价格按照“就低原则”同步调价，调价范围包含解放军总医院各医学中心及医疗区；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封闭耗材（试剂）报价表需按要求加盖供应商及生产企业公章，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如出现多个生产厂家的，需全部生产厂家逐一对其产品盖章确认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封闭耗材（试剂）报价表及其他要求详见“第八章 文件组成及专用附件格式”。</w:t>
      </w:r>
    </w:p>
    <w:p>
      <w:bookmarkStart w:id="27" w:name="_GoBack"/>
      <w:bookmarkEnd w:id="2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EFFDC"/>
    <w:multiLevelType w:val="singleLevel"/>
    <w:tmpl w:val="623EFFD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A0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Body Text"/>
    <w:basedOn w:val="1"/>
    <w:next w:val="1"/>
    <w:qFormat/>
    <w:uiPriority w:val="99"/>
    <w:pPr>
      <w:spacing w:after="120"/>
    </w:pPr>
  </w:style>
  <w:style w:type="character" w:customStyle="1" w:styleId="7">
    <w:name w:val="font21"/>
    <w:basedOn w:val="6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2025-09-11T06:52:11Z</dcterms:created>
  <dc:creator>admin</dc:creator>
  <cp:lastModifiedBy>admin</cp:lastModifiedBy>
  <dcterms:modified xsi:type="dcterms:W3CDTF">2025-09-11T06:52:37Z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