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outlineLvl w:val="2"/>
        <w:rPr>
          <w:rFonts w:hint="eastAsia" w:ascii="黑体" w:hAnsi="黑体" w:cs="黑体"/>
          <w:sz w:val="28"/>
          <w:szCs w:val="28"/>
        </w:rPr>
      </w:pPr>
      <w:bookmarkStart w:id="0" w:name="_Toc112768493"/>
      <w:bookmarkStart w:id="1" w:name="_Toc113349540"/>
      <w:bookmarkStart w:id="2" w:name="_Toc128151307"/>
      <w:bookmarkStart w:id="3" w:name="_Toc16726"/>
      <w:bookmarkStart w:id="4" w:name="_Toc121476582"/>
      <w:bookmarkStart w:id="5" w:name="_Toc32238"/>
      <w:bookmarkStart w:id="6" w:name="_Toc19477"/>
      <w:bookmarkStart w:id="7" w:name="_Toc112681847"/>
      <w:bookmarkStart w:id="8" w:name="_Toc31915"/>
      <w:bookmarkStart w:id="9" w:name="_Toc624"/>
      <w:bookmarkStart w:id="10" w:name="_Toc5753"/>
      <w:bookmarkStart w:id="11" w:name="_Toc20518"/>
      <w:bookmarkStart w:id="12" w:name="_Toc8260"/>
      <w:bookmarkStart w:id="13" w:name="_Toc32008"/>
      <w:bookmarkStart w:id="14" w:name="_Toc14187"/>
      <w:bookmarkStart w:id="15" w:name="_Toc23260"/>
      <w:r>
        <w:rPr>
          <w:rFonts w:hint="eastAsia" w:eastAsia="黑体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 w:ascii="黑体" w:hAnsi="黑体" w:cs="黑体"/>
          <w:sz w:val="28"/>
          <w:szCs w:val="28"/>
        </w:rPr>
        <w:t>（商务条款均为实质性条款，不接受负偏离）</w:t>
      </w:r>
      <w:bookmarkEnd w:id="12"/>
      <w:bookmarkEnd w:id="13"/>
      <w:bookmarkEnd w:id="14"/>
      <w:bookmarkEnd w:id="15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1015"/>
        <w:gridCol w:w="730"/>
        <w:gridCol w:w="5923"/>
        <w:gridCol w:w="98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售后服务5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厂商免费负责相关软件、服务器（包含但不限于网线、端口）的安装和全部网络连接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tabs>
          <w:tab w:val="left" w:pos="0"/>
          <w:tab w:val="left" w:pos="846"/>
          <w:tab w:val="left" w:pos="1122"/>
        </w:tabs>
        <w:spacing w:line="560" w:lineRule="exact"/>
        <w:ind w:firstLine="560"/>
        <w:outlineLvl w:val="2"/>
        <w:rPr>
          <w:rFonts w:eastAsia="黑体"/>
          <w:b/>
          <w:sz w:val="28"/>
          <w:szCs w:val="28"/>
        </w:rPr>
      </w:pPr>
      <w:bookmarkStart w:id="16" w:name="_Toc128151308"/>
      <w:bookmarkStart w:id="17" w:name="_Toc25919"/>
      <w:bookmarkStart w:id="18" w:name="_Toc29186"/>
      <w:bookmarkStart w:id="19" w:name="_Toc851"/>
      <w:bookmarkStart w:id="20" w:name="_Toc23376"/>
      <w:r>
        <w:rPr>
          <w:rFonts w:hint="eastAsia" w:eastAsia="黑体"/>
          <w:sz w:val="28"/>
          <w:szCs w:val="28"/>
        </w:rPr>
        <w:t>二、技术要求</w:t>
      </w:r>
      <w:bookmarkEnd w:id="16"/>
      <w:r>
        <w:rPr>
          <w:rFonts w:hint="eastAsia" w:asciiTheme="minorEastAsia" w:hAnsiTheme="minorEastAsia" w:eastAsiaTheme="minorEastAsia"/>
          <w:sz w:val="28"/>
          <w:szCs w:val="28"/>
        </w:rPr>
        <w:t>（单一来源采购项目所有指标均不接受负偏离，任意一项不满足要求按废标处理）</w:t>
      </w:r>
      <w:bookmarkEnd w:id="17"/>
      <w:bookmarkEnd w:id="18"/>
      <w:bookmarkEnd w:id="19"/>
      <w:bookmarkEnd w:id="2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ascii="宋体" w:hAnsi="宋体"/>
          <w:bCs/>
          <w:sz w:val="28"/>
          <w:szCs w:val="28"/>
        </w:rPr>
      </w:pPr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952"/>
        <w:gridCol w:w="679"/>
        <w:gridCol w:w="1631"/>
        <w:gridCol w:w="1935"/>
        <w:gridCol w:w="1954"/>
        <w:gridCol w:w="625"/>
        <w:gridCol w:w="93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8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2025-JQ06-W5019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眼底病变眼底图像辅助诊断软件</w:t>
            </w:r>
          </w:p>
        </w:tc>
        <w:tc>
          <w:tcPr>
            <w:tcW w:w="10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82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采集眼底照相机拍摄的视网膜图片，进行基于人工智能技术的分析，并给出诊断建议和报告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NMPA认证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重要眼病的AI指标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其他多种眼底疾病的诊断和风险分级，包括：糖尿病引起的眼底病（糖网）、可疑青光眼、视网膜静脉阻塞、视网膜动脉阻塞、病理性近视、视网膜色素变性、视网膜脱离、非黄斑区玻璃膜疣、高度近视眼底改变、豹纹状眼底、黄斑前膜、黄斑裂孔、AMD干性、AMD湿性(含PCV)/中渗、中浆、黄斑区陈旧病变、黄斑水肿、视盘边界不清、视神经萎缩、有髓神经纤维等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重要眼病的AI指标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支持对视网膜神经纤维层缺损（RNFLD）和进行定量分析，能呈现RNFLD的位置与估算面积等（可应用于疑似青光眼样视神经改变的辅助分析）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病灶区域定位与标注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支持对病灶区域进行自动定位与标注。病灶包括：微血管瘤、视网膜内出血、视网膜前出血、硬渗、棉绒斑、激光斑、玻璃膜疣、新生血管、纤维增殖膜、玻璃体出血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用户检查和图像浏览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提供临床全面的检查图像报告浏览模式，包括单张图像大图浏览、多种类型图像同屏对比浏览，患者不同时期的图像比对浏览，比对浏览时可以对单图进行缩放，支持图像的单张下载和批量下载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图像处理工具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支持对眼底图像提供AI增强图，供医生做细节观察，支持对图像进行缩放、改变对比度、改变亮度操作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报告管理功能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多种疾病对应的病灶、病种和建议的常用词条，能对疾病的图像发现，初步印象，转诊建议，复查建议和其他建议等多项内容词条进行配置，在手工修改报告的时候可以一键把上述词条加入报告，便于报告内容的快速录入。并针对当次图像检查情况，可对患者设置复诊时间，便于医院进行患者跟踪随访管理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数据统计分析能力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支持对机构进行丰富的数据统计分析，提供数据报表下载、统计分析报告PDF下载功能。统计范围包含服务患者人次、图像质量情况与变化趋势统计、检查报告数量、多病种各类眼病患者数、年龄分布、性别分布等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管理员账号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具备，同时可开通多个子账号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账号服务期限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签定合同起不少于三年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眼底病变眼底图像辅助诊断软件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94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lang w:val="en-US" w:eastAsia="zh-CN" w:bidi="ar"/>
              </w:rPr>
              <w:t>提供本地服务器。最低配置：</w:t>
            </w:r>
            <w:r>
              <w:rPr>
                <w:rStyle w:val="7"/>
                <w:lang w:val="en-US" w:eastAsia="zh-CN" w:bidi="ar"/>
              </w:rPr>
              <w:t>处理器Intel/AMD 16核2.4GHz以上、内存64GB DDR4、推理加速卡1xNvidia Tesla T4，16GB、系统2x512M SSD （RAID1）、存储4X8TB SATA HDD（RAID10）、电源800W（1+1）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widowControl/>
        <w:spacing w:line="560" w:lineRule="exact"/>
        <w:jc w:val="left"/>
        <w:rPr>
          <w:rFonts w:ascii="宋体" w:hAnsi="宋体"/>
          <w:bCs/>
          <w:snapToGrid w:val="0"/>
          <w:sz w:val="28"/>
          <w:szCs w:val="28"/>
        </w:rPr>
        <w:sectPr>
          <w:headerReference r:id="rId3" w:type="default"/>
          <w:pgSz w:w="11906" w:h="16838"/>
          <w:pgMar w:top="1418" w:right="1134" w:bottom="1418" w:left="1418" w:header="851" w:footer="992" w:gutter="0"/>
          <w:cols w:space="720" w:num="1"/>
          <w:docGrid w:linePitch="312" w:charSpace="0"/>
        </w:sectPr>
      </w:pPr>
      <w:bookmarkStart w:id="21" w:name="_GoBack"/>
      <w:bookmarkEnd w:id="2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楷体_GB2312" w:hAnsi="楷体" w:eastAsia="楷体_GB2312" w:cs="楷体"/>
        <w:sz w:val="21"/>
        <w:szCs w:val="21"/>
      </w:rPr>
    </w:pPr>
    <w:r>
      <w:rPr>
        <w:sz w:val="21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38470" cy="8891270"/>
          <wp:effectExtent l="0" t="0" r="5080" b="5080"/>
          <wp:wrapNone/>
          <wp:docPr id="14" name="WordPictureWatermark248091" descr="水印图片-加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248091" descr="水印图片-加深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8470" cy="8891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E5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31"/>
    <w:basedOn w:val="5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7">
    <w:name w:val="font41"/>
    <w:basedOn w:val="5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2025-09-16T09:55:11Z</dcterms:created>
  <dc:creator>admin</dc:creator>
  <cp:lastModifiedBy>admin</cp:lastModifiedBy>
  <dcterms:modified xsi:type="dcterms:W3CDTF">2025-09-16T09:55:46Z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