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lang w:val="zh-CN"/>
        </w:rPr>
      </w:pPr>
      <w:bookmarkStart w:id="0" w:name="_Toc30564"/>
      <w:bookmarkStart w:id="1" w:name="_Toc32050"/>
      <w:bookmarkStart w:id="2" w:name="_Toc128154366"/>
      <w:bookmarkStart w:id="3" w:name="_Toc132191257"/>
      <w:bookmarkStart w:id="4" w:name="_Toc132186973"/>
      <w:bookmarkStart w:id="5" w:name="_Toc130888005"/>
      <w:bookmarkStart w:id="6" w:name="_Toc112317781"/>
      <w:bookmarkStart w:id="7" w:name="_Toc112768491"/>
      <w:bookmarkStart w:id="8" w:name="_Toc21632"/>
      <w:bookmarkStart w:id="9" w:name="_Toc150421246"/>
      <w:bookmarkStart w:id="10" w:name="_Toc28545"/>
      <w:bookmarkStart w:id="11" w:name="_Toc152058289"/>
      <w:bookmarkStart w:id="12" w:name="_Toc9692"/>
      <w:bookmarkStart w:id="13" w:name="_Toc128470293"/>
      <w:bookmarkStart w:id="14" w:name="_Toc130661176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15" w:name="_Toc150421247"/>
      <w:bookmarkStart w:id="16" w:name="_Toc112681847"/>
      <w:bookmarkStart w:id="17" w:name="_Toc13168"/>
      <w:bookmarkStart w:id="18" w:name="_Toc22977"/>
      <w:bookmarkStart w:id="19" w:name="_Toc112768493"/>
      <w:bookmarkStart w:id="20" w:name="_Toc22203"/>
      <w:bookmarkStart w:id="21" w:name="_Toc152058290"/>
      <w:bookmarkStart w:id="22" w:name="_Toc128154367"/>
      <w:bookmarkStart w:id="23" w:name="_Toc132191258"/>
      <w:bookmarkStart w:id="24" w:name="_Toc132186974"/>
      <w:bookmarkStart w:id="25" w:name="_Toc14060"/>
      <w:bookmarkStart w:id="26" w:name="_Toc128470294"/>
      <w:bookmarkStart w:id="27" w:name="_Toc130888006"/>
      <w:bookmarkStart w:id="28" w:name="_Toc32238"/>
      <w:bookmarkStart w:id="29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End w:id="29"/>
    <w:tbl>
      <w:tblPr>
        <w:tblStyle w:val="42"/>
        <w:tblW w:w="87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962"/>
        <w:gridCol w:w="588"/>
        <w:gridCol w:w="4225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30" w:name="_Toc112768494"/>
            <w:bookmarkStart w:id="31" w:name="_Toc17172"/>
            <w:bookmarkStart w:id="32" w:name="_Toc27977"/>
            <w:bookmarkStart w:id="33" w:name="_Toc31554"/>
            <w:bookmarkStart w:id="34" w:name="_Toc7226"/>
            <w:bookmarkStart w:id="35" w:name="_Toc2550"/>
            <w:bookmarkStart w:id="36" w:name="_Toc130661177"/>
            <w:bookmarkStart w:id="37" w:name="_Toc150421249"/>
            <w:bookmarkStart w:id="38" w:name="_Toc130888008"/>
            <w:bookmarkStart w:id="39" w:name="_Toc128470296"/>
            <w:bookmarkStart w:id="40" w:name="_Toc152058292"/>
            <w:bookmarkStart w:id="41" w:name="_Toc132191260"/>
            <w:bookmarkStart w:id="42" w:name="_Toc128154369"/>
            <w:bookmarkStart w:id="43" w:name="_Toc132186976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签订合同无需预付款，完成验收后付100%货款。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履约保证金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/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质量保证金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无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售后服务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6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售后服务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7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售后服务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提供不少于3人次、2天的工程师维修培训。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黑体" w:hAnsi="黑体" w:eastAsia="黑体" w:cs="黑体"/>
                <w:sz w:val="20"/>
                <w:szCs w:val="20"/>
              </w:rPr>
              <w:t>8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售后服务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4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（响应时间）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维修响应时间≤4小时，维修到达现场时间≤12小时。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9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由供应商承诺项目使用寿命周期内保证零配件供应。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44" w:name="_Toc152057837"/>
      <w:bookmarkStart w:id="45" w:name="_Toc150418428"/>
      <w:bookmarkStart w:id="46" w:name="_Toc130887500"/>
      <w:bookmarkStart w:id="47" w:name="_Toc128150134"/>
      <w:bookmarkStart w:id="48" w:name="_Toc128150778"/>
      <w:bookmarkStart w:id="49" w:name="_Toc127820564"/>
      <w:bookmarkStart w:id="50" w:name="_Toc132190634"/>
      <w:bookmarkStart w:id="51" w:name="_Toc128151027"/>
      <w:bookmarkStart w:id="52" w:name="_Toc128397970"/>
      <w:r>
        <w:rPr>
          <w:rFonts w:hint="eastAsia" w:ascii="黑体" w:hAnsi="黑体" w:cs="黑体"/>
          <w:b w:val="0"/>
          <w:color w:val="auto"/>
          <w:sz w:val="28"/>
          <w:szCs w:val="28"/>
        </w:rPr>
        <w:t>二、技术要求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694"/>
        <w:gridCol w:w="849"/>
        <w:gridCol w:w="3977"/>
        <w:gridCol w:w="834"/>
        <w:gridCol w:w="15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序号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需求名称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性质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需求具体内容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是否量化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基本要求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主要用于活细胞培养观察等高端科学研究工作，具备明场、相差、荧光观察功能。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2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标准规范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产品具备FDA和NMPA证书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相关证明文件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3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光学系统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szCs w:val="21"/>
              </w:rPr>
              <w:t>无限远光学系统，齐焦距离≥60mm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产品彩页和技术白皮书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黑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4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黑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主机功能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黑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后续可根据需求原机加装纺锤体观察系统，反差模块，微分干涉模块，显微操作系统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黑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黑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产品彩页和技术白皮书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5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明场透射照明</w:t>
            </w:r>
            <w:r>
              <w:rPr>
                <w:rFonts w:ascii="宋体" w:hAnsi="宋体"/>
                <w:szCs w:val="21"/>
              </w:rPr>
              <w:t>光路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Times New Roman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szCs w:val="21"/>
              </w:rPr>
              <w:t>长寿命</w:t>
            </w:r>
            <w:r>
              <w:rPr>
                <w:rFonts w:hint="eastAsia" w:ascii="宋体" w:hAnsi="宋体"/>
                <w:szCs w:val="21"/>
              </w:rPr>
              <w:t>高冷白光</w:t>
            </w:r>
            <w:r>
              <w:rPr>
                <w:rFonts w:ascii="宋体" w:hAnsi="宋体"/>
                <w:szCs w:val="21"/>
              </w:rPr>
              <w:t>LED明场照明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使用寿命≥60000小时</w:t>
            </w:r>
            <w:r>
              <w:rPr>
                <w:rFonts w:hint="eastAsia" w:ascii="宋体" w:hAnsi="宋体"/>
                <w:szCs w:val="21"/>
              </w:rPr>
              <w:t>，内置复眼透镜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产品彩页和技术白皮书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6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szCs w:val="21"/>
              </w:rPr>
              <w:t>观察系统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Times New Roman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szCs w:val="21"/>
              </w:rPr>
              <w:t>双目观察筒，视场数≥22mm，</w:t>
            </w:r>
            <w:r>
              <w:rPr>
                <w:rFonts w:hint="eastAsia" w:ascii="宋体" w:hAnsi="宋体"/>
                <w:szCs w:val="21"/>
              </w:rPr>
              <w:t>俯角</w:t>
            </w:r>
            <w:r>
              <w:rPr>
                <w:rFonts w:ascii="宋体" w:hAnsi="宋体"/>
                <w:szCs w:val="21"/>
              </w:rPr>
              <w:t>≥</w:t>
            </w:r>
            <w:r>
              <w:rPr>
                <w:rFonts w:hint="eastAsia" w:ascii="宋体" w:hAnsi="宋体"/>
                <w:szCs w:val="21"/>
              </w:rPr>
              <w:t>35度，瞳距调整范围50-75mm，双眼屈光度可调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产品彩页和技术白皮书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7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szCs w:val="21"/>
              </w:rPr>
              <w:t>物镜转换器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szCs w:val="21"/>
              </w:rPr>
              <w:t>物镜转换器孔位数≥</w:t>
            </w:r>
            <w:r>
              <w:rPr>
                <w:rFonts w:hint="eastAsia" w:ascii="宋体" w:hAnsi="宋体"/>
                <w:szCs w:val="21"/>
              </w:rPr>
              <w:t>6</w:t>
            </w:r>
            <w:r>
              <w:rPr>
                <w:rFonts w:ascii="宋体" w:hAnsi="宋体"/>
                <w:szCs w:val="21"/>
              </w:rPr>
              <w:t>个</w:t>
            </w:r>
            <w:r>
              <w:rPr>
                <w:rFonts w:hint="eastAsia" w:ascii="宋体" w:hAnsi="宋体"/>
                <w:szCs w:val="21"/>
              </w:rPr>
              <w:t>，带DIC棱镜槽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产品彩页和技术白皮书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8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szCs w:val="21"/>
              </w:rPr>
              <w:t>调焦</w:t>
            </w:r>
            <w:r>
              <w:rPr>
                <w:rFonts w:hint="eastAsia" w:ascii="宋体" w:hAnsi="宋体"/>
                <w:szCs w:val="21"/>
              </w:rPr>
              <w:t>精度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粗调行程5</w:t>
            </w:r>
            <w:r>
              <w:rPr>
                <w:rFonts w:ascii="宋体" w:hAnsi="宋体"/>
                <w:szCs w:val="21"/>
              </w:rPr>
              <w:t>mm</w:t>
            </w:r>
            <w:r>
              <w:rPr>
                <w:rFonts w:hint="eastAsia" w:ascii="宋体" w:hAnsi="宋体"/>
                <w:szCs w:val="21"/>
              </w:rPr>
              <w:t>/圈，</w:t>
            </w:r>
            <w:r>
              <w:rPr>
                <w:rFonts w:ascii="宋体" w:hAnsi="宋体"/>
                <w:szCs w:val="21"/>
              </w:rPr>
              <w:t>步进精度</w:t>
            </w:r>
            <w:r>
              <w:rPr>
                <w:rFonts w:hint="eastAsia" w:ascii="宋体" w:hAnsi="宋体"/>
                <w:szCs w:val="21"/>
              </w:rPr>
              <w:t>≤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m</w:t>
            </w:r>
            <w:r>
              <w:rPr>
                <w:rFonts w:ascii="宋体" w:hAnsi="宋体"/>
                <w:szCs w:val="21"/>
              </w:rPr>
              <w:t>m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产品彩页和技术白皮书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黑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9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聚光器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可安装</w:t>
            </w:r>
            <w:r>
              <w:rPr>
                <w:rFonts w:ascii="宋体" w:hAnsi="宋体"/>
                <w:szCs w:val="21"/>
              </w:rPr>
              <w:t>≥</w:t>
            </w:r>
            <w:r>
              <w:rPr>
                <w:rFonts w:hint="eastAsia" w:ascii="宋体" w:hAnsi="宋体"/>
                <w:szCs w:val="21"/>
              </w:rPr>
              <w:t>7个组件，包括相差，DIC，NAMC，IMSI，浮雕反差和明视场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黑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黑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产品彩页和技术白皮书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10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荧光相差物镜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 w:cs="黑体"/>
                <w:kern w:val="0"/>
                <w:szCs w:val="21"/>
                <w:lang w:bidi="ar"/>
              </w:rPr>
              <w:t>4X</w:t>
            </w: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（或5X）</w:t>
            </w:r>
            <w:r>
              <w:rPr>
                <w:rFonts w:ascii="宋体" w:hAnsi="宋体" w:cs="黑体"/>
                <w:kern w:val="0"/>
                <w:szCs w:val="21"/>
                <w:lang w:bidi="ar"/>
              </w:rPr>
              <w:t xml:space="preserve"> N.A.</w:t>
            </w:r>
            <w:r>
              <w:rPr>
                <w:rFonts w:ascii="宋体" w:hAnsi="宋体"/>
                <w:szCs w:val="21"/>
              </w:rPr>
              <w:t xml:space="preserve"> ≥</w:t>
            </w:r>
            <w:r>
              <w:rPr>
                <w:rFonts w:ascii="宋体" w:hAnsi="宋体" w:cs="黑体"/>
                <w:kern w:val="0"/>
                <w:szCs w:val="21"/>
                <w:lang w:bidi="ar"/>
              </w:rPr>
              <w:t>0.13, W.D.</w:t>
            </w:r>
            <w:r>
              <w:rPr>
                <w:rFonts w:ascii="宋体" w:hAnsi="宋体"/>
                <w:szCs w:val="21"/>
              </w:rPr>
              <w:t xml:space="preserve"> ≥</w:t>
            </w:r>
            <w:r>
              <w:rPr>
                <w:rFonts w:ascii="宋体" w:hAnsi="宋体" w:cs="黑体"/>
                <w:kern w:val="0"/>
                <w:szCs w:val="21"/>
                <w:lang w:bidi="ar"/>
              </w:rPr>
              <w:t>16.4 mm, PhL</w:t>
            </w: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；</w:t>
            </w:r>
            <w:r>
              <w:rPr>
                <w:rFonts w:ascii="宋体" w:hAnsi="宋体" w:cs="黑体"/>
                <w:kern w:val="0"/>
                <w:szCs w:val="21"/>
                <w:lang w:bidi="ar"/>
              </w:rPr>
              <w:t>10X  N.A.</w:t>
            </w:r>
            <w:r>
              <w:rPr>
                <w:rFonts w:ascii="宋体" w:hAnsi="宋体"/>
                <w:szCs w:val="21"/>
              </w:rPr>
              <w:t xml:space="preserve"> ≥</w:t>
            </w:r>
            <w:r>
              <w:rPr>
                <w:rFonts w:ascii="宋体" w:hAnsi="宋体" w:cs="黑体"/>
                <w:kern w:val="0"/>
                <w:szCs w:val="21"/>
                <w:lang w:bidi="ar"/>
              </w:rPr>
              <w:t>0.30, W.D.</w:t>
            </w:r>
            <w:r>
              <w:rPr>
                <w:rFonts w:ascii="宋体" w:hAnsi="宋体"/>
                <w:szCs w:val="21"/>
              </w:rPr>
              <w:t xml:space="preserve"> ≥</w:t>
            </w:r>
            <w:r>
              <w:rPr>
                <w:rFonts w:ascii="宋体" w:hAnsi="宋体" w:cs="黑体"/>
                <w:kern w:val="0"/>
                <w:szCs w:val="21"/>
                <w:lang w:bidi="ar"/>
              </w:rPr>
              <w:t>15.2mm, PH-1</w:t>
            </w: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；</w:t>
            </w:r>
            <w:r>
              <w:rPr>
                <w:rFonts w:ascii="宋体" w:hAnsi="宋体" w:cs="黑体"/>
                <w:kern w:val="0"/>
                <w:szCs w:val="21"/>
                <w:lang w:bidi="ar"/>
              </w:rPr>
              <w:t xml:space="preserve">20X N.A. </w:t>
            </w:r>
            <w:r>
              <w:rPr>
                <w:rFonts w:ascii="宋体" w:hAnsi="宋体"/>
                <w:szCs w:val="21"/>
              </w:rPr>
              <w:t>≥</w:t>
            </w:r>
            <w:r>
              <w:rPr>
                <w:rFonts w:ascii="宋体" w:hAnsi="宋体" w:cs="黑体"/>
                <w:kern w:val="0"/>
                <w:szCs w:val="21"/>
                <w:lang w:bidi="ar"/>
              </w:rPr>
              <w:t>0.45, W.D.</w:t>
            </w:r>
            <w:r>
              <w:rPr>
                <w:rFonts w:ascii="宋体" w:hAnsi="宋体"/>
                <w:szCs w:val="21"/>
              </w:rPr>
              <w:t xml:space="preserve"> ≥</w:t>
            </w:r>
            <w:r>
              <w:rPr>
                <w:rFonts w:ascii="宋体" w:hAnsi="宋体" w:cs="黑体"/>
                <w:kern w:val="0"/>
                <w:szCs w:val="21"/>
                <w:lang w:bidi="ar"/>
              </w:rPr>
              <w:t>8.2-6.9mm</w:t>
            </w: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；</w:t>
            </w:r>
            <w:r>
              <w:rPr>
                <w:rFonts w:ascii="宋体" w:hAnsi="宋体" w:cs="黑体"/>
                <w:kern w:val="0"/>
                <w:szCs w:val="21"/>
                <w:lang w:bidi="ar"/>
              </w:rPr>
              <w:t>40X N.A.</w:t>
            </w:r>
            <w:r>
              <w:rPr>
                <w:rFonts w:ascii="宋体" w:hAnsi="宋体"/>
                <w:szCs w:val="21"/>
              </w:rPr>
              <w:t xml:space="preserve"> ≥</w:t>
            </w:r>
            <w:r>
              <w:rPr>
                <w:rFonts w:ascii="宋体" w:hAnsi="宋体" w:cs="黑体"/>
                <w:kern w:val="0"/>
                <w:szCs w:val="21"/>
                <w:lang w:bidi="ar"/>
              </w:rPr>
              <w:t>0.60, W.D.</w:t>
            </w:r>
            <w:r>
              <w:rPr>
                <w:rFonts w:ascii="宋体" w:hAnsi="宋体"/>
                <w:szCs w:val="21"/>
              </w:rPr>
              <w:t xml:space="preserve"> ≥</w:t>
            </w:r>
            <w:r>
              <w:rPr>
                <w:rFonts w:ascii="宋体" w:hAnsi="宋体" w:cs="黑体"/>
                <w:kern w:val="0"/>
                <w:szCs w:val="21"/>
                <w:lang w:bidi="ar"/>
              </w:rPr>
              <w:t>3.6-2.8mm,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物镜刻字及技术白皮书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11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szCs w:val="21"/>
              </w:rPr>
              <w:t>荧光</w:t>
            </w:r>
            <w:r>
              <w:rPr>
                <w:rFonts w:hint="eastAsia" w:ascii="宋体" w:hAnsi="宋体"/>
                <w:szCs w:val="21"/>
              </w:rPr>
              <w:t>光路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透射LED照明</w:t>
            </w:r>
            <w:r>
              <w:rPr>
                <w:rFonts w:ascii="宋体" w:hAnsi="宋体"/>
                <w:szCs w:val="21"/>
              </w:rPr>
              <w:t>荧光装置</w:t>
            </w:r>
            <w:r>
              <w:rPr>
                <w:rFonts w:hint="eastAsia" w:ascii="宋体" w:hAnsi="宋体"/>
                <w:szCs w:val="21"/>
              </w:rPr>
              <w:t>，内置复眼透镜，具备荧光噪声消除技术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产品彩页和技术白皮书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黑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12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荧光光强度记忆功能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黑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具备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黑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黑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产品彩页和技术白皮书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13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荧光激发波长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385、455、470、505、525、590、625nm共计7种激发波长可选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产品彩页和技术白皮书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14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荧光激发通道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宋体" w:hAnsi="宋体"/>
                <w:szCs w:val="21"/>
              </w:rPr>
              <w:t>≥</w:t>
            </w: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5孔激发块转盘，可同时装载</w:t>
            </w:r>
            <w:r>
              <w:rPr>
                <w:rFonts w:ascii="宋体" w:hAnsi="宋体"/>
                <w:szCs w:val="21"/>
              </w:rPr>
              <w:t>≥</w:t>
            </w: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4个激发块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产品彩页和技术白皮书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15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相机端口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机身具备侧面照相系统端口，可实现100%分光。C口和F口相机均适用。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产品彩页和技术白皮书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15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图像采集系统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spacing w:line="380" w:lineRule="exact"/>
              <w:rPr>
                <w:rFonts w:hint="eastAsia" w:ascii="黑体" w:hAnsi="Times New Roman" w:eastAsia="黑体" w:cs="黑体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kern w:val="2"/>
                <w:sz w:val="21"/>
                <w:szCs w:val="24"/>
              </w:rPr>
              <w:t>专业sCMOS制冷显微图像采集系统，像素≥1200万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产品彩页和技术白皮书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16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数据接口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 w:val="20"/>
                <w:szCs w:val="20"/>
              </w:rPr>
              <w:t>10G GigE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产品彩页和技术白皮书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17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芯片规格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156" w:beforeLines="50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szCs w:val="22"/>
              </w:rPr>
              <w:t>≥1英寸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产品彩页和技术白皮书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18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图像分辨率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≥4096x3072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产品彩页和技术白皮书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19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图像采集速度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≥98fps（</w:t>
            </w:r>
            <w:bookmarkStart w:id="53" w:name="_GoBack"/>
            <w:bookmarkEnd w:id="53"/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在4096×3072分辨率下）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产品彩页和技术白皮书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20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 w:val="20"/>
                <w:szCs w:val="20"/>
              </w:rPr>
              <w:t>图像采集软件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 w:val="20"/>
                <w:szCs w:val="20"/>
              </w:rPr>
              <w:t>具备实时显示坐标信息，RGB值，尺寸，缩放信息功能</w:t>
            </w:r>
            <w:r>
              <w:rPr>
                <w:rFonts w:hint="eastAsia" w:ascii="宋体" w:hAnsi="宋体"/>
              </w:rPr>
              <w:t>;</w:t>
            </w:r>
            <w:r>
              <w:rPr>
                <w:rFonts w:hint="eastAsia" w:ascii="宋体" w:hAnsi="宋体" w:cs="黑体"/>
                <w:kern w:val="0"/>
                <w:sz w:val="20"/>
                <w:szCs w:val="20"/>
              </w:rPr>
              <w:t>具备19种快捷方式，包含：移动画面，黑背景，全屏，水平镜像，垂直镜像，图像放大，图像缩小，图库，自适应;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 w:cs="黑体"/>
                <w:kern w:val="0"/>
                <w:sz w:val="20"/>
                <w:szCs w:val="20"/>
              </w:rPr>
              <w:t>具备硬件锐化功能（不影响帧率）;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 w:cs="黑体"/>
                <w:kern w:val="0"/>
                <w:sz w:val="20"/>
                <w:szCs w:val="20"/>
              </w:rPr>
              <w:t>具备bingning模式，包含两种（求和以及平均）;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 w:cs="黑体"/>
                <w:kern w:val="0"/>
                <w:sz w:val="20"/>
                <w:szCs w:val="20"/>
              </w:rPr>
              <w:t>实时图像拼接以及实时景深合成功能,具备3D降噪功能，DPC功能;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 w:cs="黑体"/>
                <w:kern w:val="0"/>
                <w:sz w:val="20"/>
                <w:szCs w:val="20"/>
              </w:rPr>
              <w:t>具备自动计数功能,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 w:cs="黑体"/>
                <w:kern w:val="0"/>
                <w:sz w:val="20"/>
                <w:szCs w:val="20"/>
              </w:rPr>
              <w:t>平场校正功能,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 w:cs="黑体"/>
                <w:kern w:val="0"/>
                <w:sz w:val="20"/>
                <w:szCs w:val="20"/>
              </w:rPr>
              <w:t>反卷积功能。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产品彩页和技术白皮书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</w:rPr>
              <w:t>21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电脑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I5，win10，32GB内存，256SSD+1T  机箱主机端口为 USB3.0，可插采集卡；屏幕尺寸：≥23英寸；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黑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22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黑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配置要求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黑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（单台套）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黑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黑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显微镜1台，聚光镜1个，物镜转盘1个，荧光相差物镜4个（4倍/5倍1个、10倍1个、20倍1个、40倍1个），LED荧光系统一套，激发块3个，图像采集系统1套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黑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否</w:t>
            </w:r>
          </w:p>
        </w:tc>
        <w:tc>
          <w:tcPr>
            <w:tcW w:w="8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黑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黑体"/>
                <w:kern w:val="0"/>
                <w:szCs w:val="21"/>
                <w:lang w:bidi="ar"/>
              </w:rPr>
              <w:t>企业承诺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i/>
          <w:iCs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宋体" w:cs="黑体"/>
          <w:b w:val="0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t>。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宋体" w:hAnsi="宋体"/>
          <w:bCs/>
          <w:color w:val="auto"/>
          <w:szCs w:val="21"/>
          <w:u w:val="single"/>
        </w:rPr>
      </w:pPr>
      <w:r>
        <w:rPr>
          <w:rFonts w:hint="eastAsia" w:ascii="黑体" w:hAnsi="黑体" w:eastAsia="宋体" w:cs="黑体"/>
          <w:b w:val="0"/>
          <w:color w:val="auto"/>
          <w:sz w:val="24"/>
          <w:szCs w:val="24"/>
        </w:rPr>
        <w:br w:type="page"/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sectPr>
      <w:footerReference r:id="rId3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362792711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27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98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62792711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27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98</w:t>
                        </w:r>
                        <w: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0FED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5F7D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1B37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6523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E22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5A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672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3220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47C06"/>
    <w:rsid w:val="00250A62"/>
    <w:rsid w:val="00250EAD"/>
    <w:rsid w:val="0025131F"/>
    <w:rsid w:val="002521A3"/>
    <w:rsid w:val="0025341F"/>
    <w:rsid w:val="00253669"/>
    <w:rsid w:val="00253FFF"/>
    <w:rsid w:val="002553C4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0FE8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062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C8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106"/>
    <w:rsid w:val="00303573"/>
    <w:rsid w:val="00306A74"/>
    <w:rsid w:val="00307143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34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21FC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1F7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6E1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85"/>
    <w:rsid w:val="003B30BB"/>
    <w:rsid w:val="003B36FD"/>
    <w:rsid w:val="003B3D13"/>
    <w:rsid w:val="003B4D18"/>
    <w:rsid w:val="003B52E3"/>
    <w:rsid w:val="003B57E2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820"/>
    <w:rsid w:val="00414B61"/>
    <w:rsid w:val="00415069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A54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0E82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2F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2A6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66D"/>
    <w:rsid w:val="00572A77"/>
    <w:rsid w:val="00573462"/>
    <w:rsid w:val="00573BE5"/>
    <w:rsid w:val="00574301"/>
    <w:rsid w:val="00574656"/>
    <w:rsid w:val="00574806"/>
    <w:rsid w:val="005752A3"/>
    <w:rsid w:val="00575521"/>
    <w:rsid w:val="00575C97"/>
    <w:rsid w:val="00575CB7"/>
    <w:rsid w:val="00575D15"/>
    <w:rsid w:val="00576EEB"/>
    <w:rsid w:val="00577B39"/>
    <w:rsid w:val="00577C52"/>
    <w:rsid w:val="00577D51"/>
    <w:rsid w:val="005800F5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3AF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3607"/>
    <w:rsid w:val="005E41E1"/>
    <w:rsid w:val="005E4442"/>
    <w:rsid w:val="005E4900"/>
    <w:rsid w:val="005E4BD2"/>
    <w:rsid w:val="005E4C0D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2B9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1A6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2E9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3CD1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132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99F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76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B6DBA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218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24E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3B9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6DA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396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2E"/>
    <w:rsid w:val="009605C3"/>
    <w:rsid w:val="00960AEF"/>
    <w:rsid w:val="009627BD"/>
    <w:rsid w:val="00962AC7"/>
    <w:rsid w:val="00962FA5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A7D"/>
    <w:rsid w:val="00974D37"/>
    <w:rsid w:val="00974E44"/>
    <w:rsid w:val="00975B91"/>
    <w:rsid w:val="009764A4"/>
    <w:rsid w:val="009771AA"/>
    <w:rsid w:val="00977BA6"/>
    <w:rsid w:val="00980519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4DB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99F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568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D6872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56A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152A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1964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1CD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168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21F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4C9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3A6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A6B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98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291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CF6ACA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319B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0ED7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57B"/>
    <w:rsid w:val="00DF4EB5"/>
    <w:rsid w:val="00DF53AF"/>
    <w:rsid w:val="00DF53B7"/>
    <w:rsid w:val="00DF5957"/>
    <w:rsid w:val="00DF655F"/>
    <w:rsid w:val="00DF66A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3786F"/>
    <w:rsid w:val="00E40217"/>
    <w:rsid w:val="00E40560"/>
    <w:rsid w:val="00E40A2D"/>
    <w:rsid w:val="00E42AE6"/>
    <w:rsid w:val="00E42EA1"/>
    <w:rsid w:val="00E43872"/>
    <w:rsid w:val="00E43C57"/>
    <w:rsid w:val="00E43D91"/>
    <w:rsid w:val="00E448D4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3F17"/>
    <w:rsid w:val="00E5432C"/>
    <w:rsid w:val="00E5483C"/>
    <w:rsid w:val="00E54BB4"/>
    <w:rsid w:val="00E54D53"/>
    <w:rsid w:val="00E554E8"/>
    <w:rsid w:val="00E55FA0"/>
    <w:rsid w:val="00E57523"/>
    <w:rsid w:val="00E57CCC"/>
    <w:rsid w:val="00E61786"/>
    <w:rsid w:val="00E61894"/>
    <w:rsid w:val="00E62214"/>
    <w:rsid w:val="00E6245C"/>
    <w:rsid w:val="00E62C34"/>
    <w:rsid w:val="00E62D90"/>
    <w:rsid w:val="00E63140"/>
    <w:rsid w:val="00E633DC"/>
    <w:rsid w:val="00E634D6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05B2"/>
    <w:rsid w:val="00E711EA"/>
    <w:rsid w:val="00E71387"/>
    <w:rsid w:val="00E715D0"/>
    <w:rsid w:val="00E7198D"/>
    <w:rsid w:val="00E71F7F"/>
    <w:rsid w:val="00E72066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B2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253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205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661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8EA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3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4C9C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4504BAA"/>
    <w:rsid w:val="04554CEC"/>
    <w:rsid w:val="046E1FF1"/>
    <w:rsid w:val="04A465CA"/>
    <w:rsid w:val="050E26B0"/>
    <w:rsid w:val="052971A9"/>
    <w:rsid w:val="053224BF"/>
    <w:rsid w:val="05324E4B"/>
    <w:rsid w:val="05A625A8"/>
    <w:rsid w:val="05AF3B52"/>
    <w:rsid w:val="05F23A3F"/>
    <w:rsid w:val="062E0F1B"/>
    <w:rsid w:val="068103FA"/>
    <w:rsid w:val="068A7901"/>
    <w:rsid w:val="068B011B"/>
    <w:rsid w:val="0701218C"/>
    <w:rsid w:val="08000695"/>
    <w:rsid w:val="08C730D5"/>
    <w:rsid w:val="092E39DF"/>
    <w:rsid w:val="09673E3C"/>
    <w:rsid w:val="0A721B30"/>
    <w:rsid w:val="0A8F788E"/>
    <w:rsid w:val="0BFE1539"/>
    <w:rsid w:val="0C221D85"/>
    <w:rsid w:val="0C3628D7"/>
    <w:rsid w:val="0C3C52F4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FF551A"/>
    <w:rsid w:val="12004308"/>
    <w:rsid w:val="12097BE1"/>
    <w:rsid w:val="12187FE5"/>
    <w:rsid w:val="125A3535"/>
    <w:rsid w:val="12A52565"/>
    <w:rsid w:val="12CC61CB"/>
    <w:rsid w:val="12F2507E"/>
    <w:rsid w:val="13CF39F0"/>
    <w:rsid w:val="14656EF7"/>
    <w:rsid w:val="152534E9"/>
    <w:rsid w:val="15D15E4D"/>
    <w:rsid w:val="16B05E71"/>
    <w:rsid w:val="17882EA5"/>
    <w:rsid w:val="17F6197D"/>
    <w:rsid w:val="18433A70"/>
    <w:rsid w:val="18695DE3"/>
    <w:rsid w:val="18795806"/>
    <w:rsid w:val="192C7142"/>
    <w:rsid w:val="195F062F"/>
    <w:rsid w:val="1A932AD1"/>
    <w:rsid w:val="1ABF7F3C"/>
    <w:rsid w:val="1ADF74F2"/>
    <w:rsid w:val="1D0E6F59"/>
    <w:rsid w:val="1D7E6D1E"/>
    <w:rsid w:val="1DA85478"/>
    <w:rsid w:val="1DD3548B"/>
    <w:rsid w:val="1DE756C6"/>
    <w:rsid w:val="1DED21D8"/>
    <w:rsid w:val="1F0E3DA5"/>
    <w:rsid w:val="1F7F74E9"/>
    <w:rsid w:val="1FB2006F"/>
    <w:rsid w:val="20160D49"/>
    <w:rsid w:val="20CE49AC"/>
    <w:rsid w:val="217F21D3"/>
    <w:rsid w:val="21C61BB0"/>
    <w:rsid w:val="21ED35E0"/>
    <w:rsid w:val="22C35EAF"/>
    <w:rsid w:val="22F75C0D"/>
    <w:rsid w:val="230C5CE8"/>
    <w:rsid w:val="2432177F"/>
    <w:rsid w:val="245060A9"/>
    <w:rsid w:val="24C20D54"/>
    <w:rsid w:val="25114177"/>
    <w:rsid w:val="25C96113"/>
    <w:rsid w:val="26595300"/>
    <w:rsid w:val="26CC5F32"/>
    <w:rsid w:val="271D5F0A"/>
    <w:rsid w:val="276C144B"/>
    <w:rsid w:val="27F77C70"/>
    <w:rsid w:val="287D3B77"/>
    <w:rsid w:val="290F7096"/>
    <w:rsid w:val="2A1738F0"/>
    <w:rsid w:val="2A7C0E4C"/>
    <w:rsid w:val="2AA74552"/>
    <w:rsid w:val="2AF17400"/>
    <w:rsid w:val="2B0F6376"/>
    <w:rsid w:val="2B1A7EED"/>
    <w:rsid w:val="2B7E74E8"/>
    <w:rsid w:val="2BAA0794"/>
    <w:rsid w:val="2BD879DD"/>
    <w:rsid w:val="2C215763"/>
    <w:rsid w:val="2C831077"/>
    <w:rsid w:val="2CA62C6E"/>
    <w:rsid w:val="2DCF44E2"/>
    <w:rsid w:val="2E1B296B"/>
    <w:rsid w:val="2E262354"/>
    <w:rsid w:val="2E552C39"/>
    <w:rsid w:val="2F8B25F1"/>
    <w:rsid w:val="30843362"/>
    <w:rsid w:val="326276D3"/>
    <w:rsid w:val="33362F8C"/>
    <w:rsid w:val="339A10EE"/>
    <w:rsid w:val="33B757FC"/>
    <w:rsid w:val="33B83430"/>
    <w:rsid w:val="33E5792B"/>
    <w:rsid w:val="3437693D"/>
    <w:rsid w:val="35C91DF7"/>
    <w:rsid w:val="36623A07"/>
    <w:rsid w:val="3699568D"/>
    <w:rsid w:val="36BF1C5A"/>
    <w:rsid w:val="36CA5847"/>
    <w:rsid w:val="37141D64"/>
    <w:rsid w:val="371F2036"/>
    <w:rsid w:val="38357FF9"/>
    <w:rsid w:val="38491247"/>
    <w:rsid w:val="38614540"/>
    <w:rsid w:val="38A7470F"/>
    <w:rsid w:val="38C26B8B"/>
    <w:rsid w:val="38DC3049"/>
    <w:rsid w:val="3A7E52C6"/>
    <w:rsid w:val="3AA6016F"/>
    <w:rsid w:val="3AF236EA"/>
    <w:rsid w:val="3B273268"/>
    <w:rsid w:val="3B5B541E"/>
    <w:rsid w:val="3B626996"/>
    <w:rsid w:val="3B787F67"/>
    <w:rsid w:val="3B876258"/>
    <w:rsid w:val="3D3B749E"/>
    <w:rsid w:val="3DB03FCF"/>
    <w:rsid w:val="3DFC38D5"/>
    <w:rsid w:val="3E203B3E"/>
    <w:rsid w:val="3E442382"/>
    <w:rsid w:val="3F6607F4"/>
    <w:rsid w:val="3F6A7359"/>
    <w:rsid w:val="40BE1D68"/>
    <w:rsid w:val="417C1216"/>
    <w:rsid w:val="41970A1B"/>
    <w:rsid w:val="41A5138A"/>
    <w:rsid w:val="41D775CC"/>
    <w:rsid w:val="423B7BF3"/>
    <w:rsid w:val="42515CBA"/>
    <w:rsid w:val="426013AE"/>
    <w:rsid w:val="42B86E9B"/>
    <w:rsid w:val="42DF518A"/>
    <w:rsid w:val="42F25857"/>
    <w:rsid w:val="431762B8"/>
    <w:rsid w:val="43DD1E03"/>
    <w:rsid w:val="441143CC"/>
    <w:rsid w:val="441C3368"/>
    <w:rsid w:val="4420585E"/>
    <w:rsid w:val="4427077C"/>
    <w:rsid w:val="44427685"/>
    <w:rsid w:val="448252F0"/>
    <w:rsid w:val="46834E58"/>
    <w:rsid w:val="47A65E5C"/>
    <w:rsid w:val="47C00CCC"/>
    <w:rsid w:val="47D66741"/>
    <w:rsid w:val="4819246C"/>
    <w:rsid w:val="48194B54"/>
    <w:rsid w:val="48C60564"/>
    <w:rsid w:val="49042E3A"/>
    <w:rsid w:val="49494CF1"/>
    <w:rsid w:val="49730518"/>
    <w:rsid w:val="4B9141F7"/>
    <w:rsid w:val="4BD50ABE"/>
    <w:rsid w:val="4C001FDF"/>
    <w:rsid w:val="4DC42B98"/>
    <w:rsid w:val="4F4918BD"/>
    <w:rsid w:val="4F5E5CF3"/>
    <w:rsid w:val="4F7B1510"/>
    <w:rsid w:val="4F9A62A6"/>
    <w:rsid w:val="50F32112"/>
    <w:rsid w:val="514D61C2"/>
    <w:rsid w:val="518A3E70"/>
    <w:rsid w:val="518A6447"/>
    <w:rsid w:val="52293911"/>
    <w:rsid w:val="522B5E7C"/>
    <w:rsid w:val="523E5075"/>
    <w:rsid w:val="531558BC"/>
    <w:rsid w:val="53EB539E"/>
    <w:rsid w:val="5422054D"/>
    <w:rsid w:val="54A320E7"/>
    <w:rsid w:val="54A5372D"/>
    <w:rsid w:val="54D11CCC"/>
    <w:rsid w:val="54D76DBD"/>
    <w:rsid w:val="54E04D9D"/>
    <w:rsid w:val="550B6A44"/>
    <w:rsid w:val="55120D38"/>
    <w:rsid w:val="56710C02"/>
    <w:rsid w:val="56CE6835"/>
    <w:rsid w:val="572A5C41"/>
    <w:rsid w:val="57580F21"/>
    <w:rsid w:val="592F6FD8"/>
    <w:rsid w:val="59B73BAB"/>
    <w:rsid w:val="59C363FA"/>
    <w:rsid w:val="5A113609"/>
    <w:rsid w:val="5ACA4DFD"/>
    <w:rsid w:val="5AD6055C"/>
    <w:rsid w:val="5B0176E4"/>
    <w:rsid w:val="5B9A423C"/>
    <w:rsid w:val="5D445AA3"/>
    <w:rsid w:val="5E714676"/>
    <w:rsid w:val="5E9D546B"/>
    <w:rsid w:val="5EC70E7C"/>
    <w:rsid w:val="5ED209B4"/>
    <w:rsid w:val="60A10CF9"/>
    <w:rsid w:val="612754C0"/>
    <w:rsid w:val="613A3445"/>
    <w:rsid w:val="6235591B"/>
    <w:rsid w:val="62B17737"/>
    <w:rsid w:val="63415520"/>
    <w:rsid w:val="63E35365"/>
    <w:rsid w:val="63EE6769"/>
    <w:rsid w:val="640F0BB9"/>
    <w:rsid w:val="6562503C"/>
    <w:rsid w:val="65C31A5C"/>
    <w:rsid w:val="668317FE"/>
    <w:rsid w:val="67B5251D"/>
    <w:rsid w:val="67C365D4"/>
    <w:rsid w:val="67F86B62"/>
    <w:rsid w:val="687716F6"/>
    <w:rsid w:val="690D143F"/>
    <w:rsid w:val="69392B6E"/>
    <w:rsid w:val="69E02BA4"/>
    <w:rsid w:val="69F745C9"/>
    <w:rsid w:val="6A0359B4"/>
    <w:rsid w:val="6A114F5F"/>
    <w:rsid w:val="6A65190A"/>
    <w:rsid w:val="6AC25458"/>
    <w:rsid w:val="6B25645F"/>
    <w:rsid w:val="6C040369"/>
    <w:rsid w:val="6C8C6991"/>
    <w:rsid w:val="6CD05FD1"/>
    <w:rsid w:val="70E01533"/>
    <w:rsid w:val="70E114A5"/>
    <w:rsid w:val="714D017C"/>
    <w:rsid w:val="714E5FA0"/>
    <w:rsid w:val="71593474"/>
    <w:rsid w:val="71D80BFD"/>
    <w:rsid w:val="721F3E78"/>
    <w:rsid w:val="72B02765"/>
    <w:rsid w:val="73112992"/>
    <w:rsid w:val="73DB2351"/>
    <w:rsid w:val="756E3C30"/>
    <w:rsid w:val="76796366"/>
    <w:rsid w:val="77A60B2B"/>
    <w:rsid w:val="7A3A36CD"/>
    <w:rsid w:val="7A4153ED"/>
    <w:rsid w:val="7ABD27F2"/>
    <w:rsid w:val="7B7A36AA"/>
    <w:rsid w:val="7B7B72E7"/>
    <w:rsid w:val="7BF546E1"/>
    <w:rsid w:val="7C4D62CB"/>
    <w:rsid w:val="7C5424EB"/>
    <w:rsid w:val="7CB9570E"/>
    <w:rsid w:val="7E3037AE"/>
    <w:rsid w:val="7E472F47"/>
    <w:rsid w:val="7F0C2270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2">
    <w:name w:val="font21"/>
    <w:basedOn w:val="44"/>
    <w:qFormat/>
    <w:uiPriority w:val="0"/>
    <w:rPr>
      <w:rFonts w:hint="eastAsia" w:ascii="黑体" w:hAnsi="宋体" w:eastAsia="黑体" w:cs="黑体"/>
      <w:color w:val="00B050"/>
      <w:sz w:val="20"/>
      <w:szCs w:val="20"/>
      <w:u w:val="none"/>
    </w:rPr>
  </w:style>
  <w:style w:type="character" w:customStyle="1" w:styleId="153">
    <w:name w:val="font61"/>
    <w:basedOn w:val="44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154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5">
    <w:name w:val="font31"/>
    <w:basedOn w:val="44"/>
    <w:qFormat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  <w:style w:type="character" w:customStyle="1" w:styleId="156">
    <w:name w:val="font8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7">
    <w:name w:val="font9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58">
    <w:name w:val="font10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  <w:vertAlign w:val="sub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BD3D8F-B87D-4E44-A964-C639EE126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111</Pages>
  <Words>42474</Words>
  <Characters>44202</Characters>
  <Lines>377</Lines>
  <Paragraphs>106</Paragraphs>
  <TotalTime>0</TotalTime>
  <ScaleCrop>false</ScaleCrop>
  <LinksUpToDate>false</LinksUpToDate>
  <CharactersWithSpaces>48659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2025-06-11T09:02:00Z</cp:lastPrinted>
  <dcterms:modified xsi:type="dcterms:W3CDTF">2025-10-15T00:40:28Z</dcterms:modified>
  <cp:revision>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