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52"/>
          <w:highlight w:val="none"/>
          <w:lang w:val="zh-CN" w:eastAsia="zh-CN" w:bidi="ar-SA"/>
        </w:rPr>
      </w:pPr>
      <w:bookmarkStart w:id="0" w:name="_Toc22925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52"/>
          <w:highlight w:val="none"/>
          <w:lang w:val="zh-CN" w:eastAsia="zh-CN" w:bidi="ar-SA"/>
        </w:rPr>
        <w:t>第六章 采购项目商务和技术要求</w:t>
      </w:r>
      <w:bookmarkEnd w:id="0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</w:rPr>
      </w:pPr>
      <w:bookmarkStart w:id="1" w:name="_Toc128154367"/>
      <w:bookmarkStart w:id="2" w:name="_Toc22977"/>
      <w:bookmarkStart w:id="3" w:name="_Toc112768493"/>
      <w:bookmarkStart w:id="4" w:name="_Toc2406"/>
      <w:bookmarkStart w:id="5" w:name="_Toc112681847"/>
      <w:bookmarkStart w:id="6" w:name="_Toc128470294"/>
      <w:bookmarkStart w:id="7" w:name="_Toc13168"/>
      <w:bookmarkStart w:id="8" w:name="_Toc152058290"/>
      <w:bookmarkStart w:id="9" w:name="_Toc150421247"/>
      <w:bookmarkStart w:id="10" w:name="_Toc130888006"/>
      <w:bookmarkStart w:id="11" w:name="_Toc132191258"/>
      <w:bookmarkStart w:id="12" w:name="_Toc14060"/>
      <w:bookmarkStart w:id="13" w:name="_Toc22203"/>
      <w:bookmarkStart w:id="14" w:name="_Toc32238"/>
      <w:bookmarkStart w:id="15" w:name="_Toc132186974"/>
      <w:bookmarkStart w:id="16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6"/>
        <w:tblW w:w="4995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364"/>
        <w:gridCol w:w="722"/>
        <w:gridCol w:w="4587"/>
        <w:gridCol w:w="114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交货时间、交货地点</w:t>
            </w:r>
          </w:p>
        </w:tc>
        <w:tc>
          <w:tcPr>
            <w:tcW w:w="42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合同签订后3个月内交付，交付地点由甲方指定。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付款及结算方式</w:t>
            </w:r>
          </w:p>
        </w:tc>
        <w:tc>
          <w:tcPr>
            <w:tcW w:w="42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签订合同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硬件到货后付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30%，服务完成验收后付65%。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质量保证金</w:t>
            </w:r>
          </w:p>
        </w:tc>
        <w:tc>
          <w:tcPr>
            <w:tcW w:w="42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★</w:t>
            </w:r>
          </w:p>
        </w:tc>
        <w:tc>
          <w:tcPr>
            <w:tcW w:w="26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保修期满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后无质量问题支付剩余5%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产品包装和运输要求</w:t>
            </w:r>
          </w:p>
        </w:tc>
        <w:tc>
          <w:tcPr>
            <w:tcW w:w="42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按照国家、行业相关标准规范，产品确保包装完好，运输确保不对产品造成损伤。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7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售后服务1</w:t>
            </w:r>
          </w:p>
        </w:tc>
        <w:tc>
          <w:tcPr>
            <w:tcW w:w="42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自验收合格起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保修年限不低于3年。</w:t>
            </w:r>
          </w:p>
        </w:tc>
        <w:tc>
          <w:tcPr>
            <w:tcW w:w="67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2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69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07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售后服务2</w:t>
            </w:r>
          </w:p>
        </w:tc>
        <w:tc>
          <w:tcPr>
            <w:tcW w:w="42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保修期内免费提供定期维护保养服务，免费升级和维护软件，免费提供使用培训。</w:t>
            </w:r>
          </w:p>
        </w:tc>
        <w:tc>
          <w:tcPr>
            <w:tcW w:w="67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2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69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07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售后服务3</w:t>
            </w:r>
          </w:p>
        </w:tc>
        <w:tc>
          <w:tcPr>
            <w:tcW w:w="42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提供不少于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人次、5天的工程师维修培训。</w:t>
            </w:r>
          </w:p>
        </w:tc>
        <w:tc>
          <w:tcPr>
            <w:tcW w:w="67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2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69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07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售后服务4</w:t>
            </w:r>
          </w:p>
        </w:tc>
        <w:tc>
          <w:tcPr>
            <w:tcW w:w="42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维修响应时间≤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小时，维修到达现场时间≤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小时。</w:t>
            </w:r>
          </w:p>
        </w:tc>
        <w:tc>
          <w:tcPr>
            <w:tcW w:w="67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07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（响应时间）</w:t>
            </w:r>
          </w:p>
        </w:tc>
        <w:tc>
          <w:tcPr>
            <w:tcW w:w="42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69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知识产权</w:t>
            </w:r>
          </w:p>
        </w:tc>
        <w:tc>
          <w:tcPr>
            <w:tcW w:w="42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物资编目编码、打码贴签要求</w:t>
            </w:r>
          </w:p>
        </w:tc>
        <w:tc>
          <w:tcPr>
            <w:tcW w:w="42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★</w:t>
            </w:r>
          </w:p>
        </w:tc>
        <w:tc>
          <w:tcPr>
            <w:tcW w:w="269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企业承诺</w:t>
            </w:r>
          </w:p>
        </w:tc>
      </w:tr>
    </w:tbl>
    <w:p>
      <w:pPr>
        <w:rPr>
          <w:rFonts w:hint="eastAsia" w:ascii="黑体" w:hAnsi="黑体" w:cs="黑体"/>
          <w:b w:val="0"/>
          <w:color w:val="auto"/>
          <w:sz w:val="28"/>
          <w:szCs w:val="28"/>
        </w:rPr>
      </w:pPr>
    </w:p>
    <w:bookmarkEnd w:id="16"/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</w:rPr>
      </w:pPr>
      <w:bookmarkStart w:id="17" w:name="_Toc128151027"/>
      <w:bookmarkStart w:id="18" w:name="_Toc128150778"/>
      <w:bookmarkStart w:id="19" w:name="_Toc150418428"/>
      <w:bookmarkStart w:id="20" w:name="_Toc128397970"/>
      <w:bookmarkStart w:id="21" w:name="_Toc127820564"/>
      <w:bookmarkStart w:id="22" w:name="_Toc130887500"/>
      <w:bookmarkStart w:id="23" w:name="_Toc152057837"/>
      <w:bookmarkStart w:id="24" w:name="_Toc128150134"/>
      <w:bookmarkStart w:id="25" w:name="_Toc16735"/>
      <w:bookmarkStart w:id="26" w:name="_Toc132190634"/>
      <w:r>
        <w:rPr>
          <w:rFonts w:hint="eastAsia" w:ascii="黑体" w:hAnsi="黑体" w:cs="黑体"/>
          <w:b w:val="0"/>
          <w:color w:val="auto"/>
          <w:sz w:val="28"/>
          <w:szCs w:val="28"/>
        </w:rPr>
        <w:t>技术要求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6"/>
        <w:tblW w:w="4994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279"/>
        <w:gridCol w:w="712"/>
        <w:gridCol w:w="3861"/>
        <w:gridCol w:w="672"/>
        <w:gridCol w:w="124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性质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量化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麻醉科18个手术间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1套手术护理临床信息系统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"/>
              </w:rPr>
              <w:t>采购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18台PDA，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手术护理人员可操作PDA终端在各业务场景，扫码核对、及时记录、签名确认，并能自动生成护理文书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需提供加盖公章的承诺函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软件系统技术要求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2.1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护理首页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2.2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手术信息概览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▲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应支持手术信息一览，手术护理人员可通过PDA查看本台手术概要信息，手术进展信息。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2.3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统一入口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应提供进入手术护理业务相关操作的统一入口。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手术物品清点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3.1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全流程清点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提供手术物品清点功能，可在PDA上完成手术全流程各环节清点。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3.2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获取器械包明细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应支持与消毒供应室对接，利用PDA扫码器械包，或通过字典模板，快速获器械包内详细信息，包括器械和敷料的名称、基数信息。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3.3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语音复读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▲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应提供语音复读功能，在记录器械或敷料手术物品的数量时，PDA可通过语音复读器械、敷料名称和数量。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3.4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术中添加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应支持术中添加额外的器械、敷料。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3.5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自动提醒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应支持自动提醒功能，可以自动汇总手术物品总数，在录入数量不一致时能及时提醒。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3.6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原位清点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▲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应提供原位清点功能，首次清点时，不同器械包内的同类手术物品不可合并清点。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3.7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多切口清点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应支持多切口清点，可按切口完成清点，并记录详细信息。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3.8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器械清点单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应支持自动生成满足医院格式要求的《手术物品清点单》。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三方安全核查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患者身份核对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应提供患者身份核对功能，可通过PDA扫码核对患者信息。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核对错误提醒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核对的信息不正确时，应能自动提醒。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全流程核查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应支持通过PDA完成各环节手术三方安全核查。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4.4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安全核查记录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应提供麻醉实施前、手术开始前、患者离室前，三个环节的三方安全核查记录功能。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快捷记录方式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应支持通过勾选便捷录入方式，快速完成过程记录。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4.6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手术安全核查单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应能自动生成满足医院格式要求的《手术安全核查单》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4.7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术前访视记录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应能同步手术排程结果，提供术前访视患者信息支持手术护理人员在PDA上记录术前访视信息。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4.8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术前随访及记录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应能同步手术完成信息，可提供术后随访患者信息，支持手术护理人员在PDA上记录术后随访信息。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4.9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术前访视单/术后随访单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能生成满足医院格式要求的《术前访视记录单》、《术后随访记录单》。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4.10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手术压疮风险评估记录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应能在PDA上完成压疮风险评估表的录入，并与手术绑定，可按需提供术前评估、术中评估和护理措施相关内容，可根据记录信息自动评分。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4.11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手术压疮风险评估记录单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应自动生成满足医院格式要求的《手术压疮风险评估单》。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4.12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手术护理事件记录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应能在PDA上：记录手术体位、输液情况、输血情况、皮肤情况、电刀使用情况、术中标本等情况；记录术中护理措施实施情况；记录患者出入手术室的时间，手术结束后可进行去向记录。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4.13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手术护理记录单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应自动生成《手术护理记录单》。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4.14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移动端预览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手术护理相关医疗文书可自动生成，支持在移动端预览。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术中交接班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5.1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术中交接班记录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可在PDA上完成术中交接班，记录交接班详情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5.2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接班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支持术中多次交接班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5.3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更换手术间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可在PDA上完成更换手术间操作，手术信息可与更换后的手术间进行重新绑定。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5.4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PDA手术信息查询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可在PDA上按条件查询历史手术，并回顾历史手术详情。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医疗文书管理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6.1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医疗文书打印、归档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应支持手术护理相关文书的打印、归档。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6.2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归档标识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应提供归档标识功能，已归档的护理文书不可修改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6.3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历史文书查询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支持历史护理文书的查询与调阅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查询统计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手术明细信息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提供手术一览查询报表，查看所有手术明细信息。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科室工作量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提供科室工作量统计报表，查看科室工作量情况。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手术护士工作量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提供护士工作量统计报表，查看手术护士工作量情况。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7.4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手术构成统计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提供手术急诊、择期统计报表，分析急诊择期手术情况。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患者年龄统计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提供患者年龄段统计，分析患者年龄分布情况。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7.6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报表导出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可将统计结果导出为报表文档。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系统管理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批量导入用户信息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系统应支持批量导入系统用户功能，并对导入的用户分配系统用户角色。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用户信息修改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系统应支持用户新增修改功能，支持修改用户信息及用户密码，方便用户使用系统。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用户启用/停用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系统应支持用户的停用启用功能，不可对用户进行删除操作。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8.4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权限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分配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系统应支持对单用户或批量用户进行角色分配，通过角色获取相应使用系统的各类权限。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8.5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权限修改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系统应支持系统权限的新增、修改、删除功能。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8.6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权限标识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系统应支持系统权限拥有唯一标识，系统通过标识识别用户的所有权限。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8.7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字典模版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系统应支持系统基础字典及日常术语字典的维护功能。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8.8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模版编辑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系统应支持器械包、护理事件、文书模版等相关配置，提供模板，可按需配置编辑。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8.9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安全管理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系统应支持对口令密码验证进行配置，包括启用配置，登录口令规则配置、登录失败锁定配置。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信息集成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9.1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多种方式集成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应支持视图、webservice、平台等多种集成方式进行信息集成，与医院信息系统无缝对接。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9.2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麻醉集成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应支持与麻醉系统集成交互，包括手术排程、手术状态等信息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9.3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消供系统集成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应支持与消供系统集成交互，获取器械包明细信息。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9.4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消供系统集成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应支持与病案系统集成对接，完成医疗文书归档。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9.5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系统集成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需支持与院方的虚拟服务器进行连接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565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硬件设备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18台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10.1</w:t>
            </w:r>
          </w:p>
        </w:tc>
        <w:tc>
          <w:tcPr>
            <w:tcW w:w="75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PDA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处理器：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核心数量≥8核，频率≥2.0GHz。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10.2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操作系统：不低于Android 9.0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"/>
              </w:rPr>
              <w:t>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"/>
              </w:rPr>
              <w:t>操作系统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10.3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RAM: ≥4GB，ROM:≥64GB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10.4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显示屏：≥5.7 英寸高清屏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10.5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触摸屏：电容式触控，支持手套触控，带水操作，支持多点触控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10.6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电源：≥ 4000mAh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10.7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语音和音频：自带麦克风、 扬声器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10.8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扫描：支持主流的一维码和二维码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产品手册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10.9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摄像头：后置≥ 1300W ；前置 500W 像素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10.10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蓝牙：BT4.2 + BR/EDR+ BLE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10.11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WIFI: 支持802.11a/b/g/n/ac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10.12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数据通信：支持4G全网通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10.13</w:t>
            </w: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防护性：1.5m抗跌落，IP67防水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产品手册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10.14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品牌：国产品牌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  <w:t>方案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  <w:t>由供应商提供服务方案/技术方案/实施方案。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  <w:t>相关方案材料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配置名称1</w:t>
            </w:r>
          </w:p>
        </w:tc>
        <w:tc>
          <w:tcPr>
            <w:tcW w:w="418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267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手术室护理系统应当满足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大于18间手术室。</w:t>
            </w:r>
          </w:p>
        </w:tc>
        <w:tc>
          <w:tcPr>
            <w:tcW w:w="39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（服务点位）</w:t>
            </w:r>
          </w:p>
        </w:tc>
        <w:tc>
          <w:tcPr>
            <w:tcW w:w="418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配置名称2</w:t>
            </w:r>
          </w:p>
        </w:tc>
        <w:tc>
          <w:tcPr>
            <w:tcW w:w="418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▲</w:t>
            </w:r>
          </w:p>
        </w:tc>
        <w:tc>
          <w:tcPr>
            <w:tcW w:w="2267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系统上线保障人员至少1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驻场人员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39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（服务人员）</w:t>
            </w:r>
          </w:p>
        </w:tc>
        <w:tc>
          <w:tcPr>
            <w:tcW w:w="418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3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  <w:t>综合实力1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highlight w:val="none"/>
              </w:rPr>
              <w:t>产品生产企业为高新技术企业。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  <w:t>相关证明材料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  <w:t>综合实力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lang w:val="en-US" w:eastAsia="zh-CN"/>
              </w:rPr>
              <w:t>所投产品厂家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  <w:t>具有有效的质量管理体系（ISO9001或GB/T19001）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  <w:t>相关证明材料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验收标准方法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按照总医院投标文件、采购合同、质量标准等，组织对医疗设备进行质量验收，出具验收报告。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系统接口</w:t>
            </w:r>
          </w:p>
        </w:tc>
        <w:tc>
          <w:tcPr>
            <w:tcW w:w="41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需要与新HIS及相关第三方接口免费对接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若因此产生的适配/对接费用由投标单位承担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73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企业承诺</w:t>
            </w:r>
          </w:p>
        </w:tc>
      </w:tr>
    </w:tbl>
    <w:p>
      <w:pPr>
        <w:widowControl w:val="0"/>
        <w:numPr>
          <w:ilvl w:val="0"/>
          <w:numId w:val="0"/>
        </w:numPr>
        <w:jc w:val="both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（1）★指标为必须响应指标，任意一项不满足要求即做废标处理；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（2）《采购需求表》备注已明确证明材料种类的，以所注内容或国家行政管理部门、专业检测机构出具的证明材料为准。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（3）★标识指标及▲标识指标须提供技术支持材料，支持材料包括但不限于以下任意一种或几种：产品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（4）无标识指标正偏离需参照上述要求提供技术支持材料，未提供的正偏离不予认可。</w:t>
      </w:r>
    </w:p>
    <w:p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（5）加注“★”、“▲”号的技术指标均需投标企业提供证明材料（证明材料为“企业承诺的，在技术商务指标参数响应偏离表中体现即可）。</w:t>
      </w: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EA2921"/>
    <w:multiLevelType w:val="singleLevel"/>
    <w:tmpl w:val="CEEA29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6574265"/>
    <w:multiLevelType w:val="singleLevel"/>
    <w:tmpl w:val="565742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1121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2025-10-14T06:54:21Z</dcterms:created>
  <dc:creator>DOCTOR</dc:creator>
  <cp:lastModifiedBy>DOCTOR</cp:lastModifiedBy>
  <dcterms:modified xsi:type="dcterms:W3CDTF">2025-10-14T06:56:08Z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0D4BCEBFF7D34580A74D24555BF277FF_12</vt:lpwstr>
  </property>
</Properties>
</file>