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52"/>
          <w:highlight w:val="none"/>
          <w:lang w:val="zh-CN" w:eastAsia="zh-CN" w:bidi="ar-SA"/>
        </w:rPr>
      </w:pPr>
      <w:bookmarkStart w:id="0" w:name="_Toc22925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52"/>
          <w:highlight w:val="none"/>
          <w:lang w:val="zh-CN" w:eastAsia="zh-CN" w:bidi="ar-SA"/>
        </w:rPr>
        <w:t>第六章 采购项目商务和技术要求</w:t>
      </w:r>
      <w:bookmarkEnd w:id="0"/>
    </w:p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</w:rPr>
      </w:pPr>
      <w:bookmarkStart w:id="1" w:name="_Toc2406"/>
      <w:bookmarkStart w:id="2" w:name="_Toc112768493"/>
      <w:bookmarkStart w:id="3" w:name="_Toc152058290"/>
      <w:bookmarkStart w:id="4" w:name="_Toc32238"/>
      <w:bookmarkStart w:id="5" w:name="_Toc132186974"/>
      <w:bookmarkStart w:id="6" w:name="_Toc22977"/>
      <w:bookmarkStart w:id="7" w:name="_Toc14060"/>
      <w:bookmarkStart w:id="8" w:name="_Toc112681847"/>
      <w:bookmarkStart w:id="9" w:name="_Toc128154367"/>
      <w:bookmarkStart w:id="10" w:name="_Toc130888006"/>
      <w:bookmarkStart w:id="11" w:name="_Toc150421247"/>
      <w:bookmarkStart w:id="12" w:name="_Toc22203"/>
      <w:bookmarkStart w:id="13" w:name="_Toc132191258"/>
      <w:bookmarkStart w:id="14" w:name="_Toc128470294"/>
      <w:bookmarkStart w:id="15" w:name="_Toc13168"/>
      <w:bookmarkStart w:id="16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282"/>
        <w:gridCol w:w="735"/>
        <w:gridCol w:w="4596"/>
        <w:gridCol w:w="12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交货时间交货地点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1.合同签订后3个月内。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2.采购人指定地点。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付款及结算方式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硬件到货且软件安装完成付首付款30%，验收合格后，支付验收款65%。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质量保证金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质保期满后无质量问题支付剩余5%。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产品包装和运输要求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按照国家、行业相关标准规范，产品确保包装完好，运输确保不对产品造成损伤。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自验收合格起,保修年限不低于3年。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保修期内免费提供定期维护保养服务，免费升级和维护软件，免费提供使用培训。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提供不少于2人次，2天的工 程师维修培训。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（响应时间）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维修响应时间≤2小时，维修到达现场时间≤1个工作日。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备品备件要求（零配件）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由供应商承诺项目使用寿命周期内保证零配件供应。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物资编目编码、打码贴签要求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5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知识产权和保密要求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5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</w:tbl>
    <w:p>
      <w:pPr>
        <w:rPr>
          <w:rFonts w:hint="eastAsia" w:ascii="黑体" w:hAnsi="黑体" w:cs="黑体"/>
          <w:b w:val="0"/>
          <w:color w:val="auto"/>
          <w:sz w:val="28"/>
          <w:szCs w:val="28"/>
        </w:rPr>
      </w:pPr>
    </w:p>
    <w:p>
      <w:pPr>
        <w:rPr>
          <w:rFonts w:hint="eastAsia" w:ascii="黑体" w:hAnsi="黑体" w:cs="黑体"/>
          <w:b w:val="0"/>
          <w:color w:val="auto"/>
          <w:sz w:val="28"/>
          <w:szCs w:val="28"/>
        </w:rPr>
      </w:pPr>
    </w:p>
    <w:p>
      <w:pPr>
        <w:rPr>
          <w:rFonts w:hint="eastAsia" w:ascii="黑体" w:hAnsi="黑体" w:cs="黑体"/>
          <w:b w:val="0"/>
          <w:color w:val="auto"/>
          <w:sz w:val="28"/>
          <w:szCs w:val="28"/>
        </w:rPr>
      </w:pPr>
    </w:p>
    <w:bookmarkEnd w:id="16"/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</w:rPr>
      </w:pPr>
      <w:bookmarkStart w:id="17" w:name="_Toc130887500"/>
      <w:bookmarkStart w:id="18" w:name="_Toc16735"/>
      <w:bookmarkStart w:id="19" w:name="_Toc127820564"/>
      <w:bookmarkStart w:id="20" w:name="_Toc128151027"/>
      <w:bookmarkStart w:id="21" w:name="_Toc150418428"/>
      <w:bookmarkStart w:id="22" w:name="_Toc152057837"/>
      <w:bookmarkStart w:id="23" w:name="_Toc128150778"/>
      <w:bookmarkStart w:id="24" w:name="_Toc128150134"/>
      <w:bookmarkStart w:id="25" w:name="_Toc132190634"/>
      <w:bookmarkStart w:id="26" w:name="_Toc128397970"/>
      <w:r>
        <w:rPr>
          <w:rFonts w:hint="eastAsia" w:ascii="黑体" w:hAnsi="黑体" w:cs="黑体"/>
          <w:b w:val="0"/>
          <w:color w:val="auto"/>
          <w:sz w:val="28"/>
          <w:szCs w:val="28"/>
        </w:rPr>
        <w:t>技术要求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171"/>
        <w:gridCol w:w="668"/>
        <w:gridCol w:w="4217"/>
        <w:gridCol w:w="675"/>
        <w:gridCol w:w="11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量化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通过老年综合评估软件系统进行高效、准确的评估，能够科学管理评估过程，数据可用于临床教学和科研。通过多维度评估，能全面、精准地掌握患者身体、心理、社会等方面状况，科学有效的治疗方案提供关键依据，提升治疗效果，减少并发症发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软件包含: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老年综合评估管理系统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硬件包含: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平板电脑2台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"/>
              </w:rPr>
              <w:t>硬件要求国产品牌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软件技术要求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老年综合评估管理系统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患者建档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支持患者电子档案建立、管理。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27" w:name="OLE_LINK6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  <w:bookmarkEnd w:id="27"/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2.2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院内筛查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对新入院、病情变化（包含潜在老年综合征风险）以及需要制定护理计划的老年患者，筛查内容主要包含身体基本状况检查（如视力、听力、吞咽功能、行动能力等）、认知功能、精神状态评估、日常生活活动能力评估等。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2.3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评估量表库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面覆盖核心评估内容的量表库，包含五大类核心评估内容的标准化量表库，量表库需要涵盖了躯体功能、精神意识、社会支持、老年综合征、居家环境等关键评估评估量表类目。包含不限于认知功能相关评估量表[如认知功能评估（SLUMS）、MoCA量表等）],躯体功能相关评估量表[如日常生活能力量表ADL、Barthel指数量表等、握力评估、吞咽功能评估等]、跌倒评估表[Morse跌倒评估量表]、心理状态相关评估量表[如老年抑郁量表(GDS)、抑郁自评表（SDS）、焦虑自评量表SAS等]、营养状态评估表[如：微型营养评估量表(MNA-SF)等]、行为疼痛评估量表[如疼痛强度评估量表]、老年综合征相关评估量表[包含匹兹堡睡眠质量指数调查问卷、社会衰弱筛查工具（HALFT）、口腔衰弱指数（OFI-8）、尿失禁问卷、便秘评估等量表]、压疮风险评估表等，量表数量不低于50个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2.4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量表扩展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可以根据实际需求，增加满足业务</w:t>
            </w:r>
            <w:bookmarkStart w:id="28" w:name="OLE_LINK2"/>
            <w:bookmarkStart w:id="29" w:name="OLE_LINK3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需要</w:t>
            </w:r>
            <w:bookmarkEnd w:id="28"/>
            <w:bookmarkEnd w:id="29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的评估量表。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2.5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评估模式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支持多种评估模式：系统评估模式及专家评估模式，确保能够规范筛查及评估，同时具备一定的灵活性；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2.6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设备数据采集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评估过程，部分需要采集数据的，能够支持数据对接，可以通过物联网读取握力，血压等数据；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2.7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诊断录入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医生可根据患者评估结果输入诊断信息。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2.8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评估修改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可根据实际情况对已完成的评估结果进行查询、编辑做必要的调整或补充</w:t>
            </w:r>
            <w:bookmarkStart w:id="30" w:name="OLE_LINK4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。</w:t>
            </w:r>
            <w:bookmarkEnd w:id="30"/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31" w:name="OLE_LINK5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  <w:bookmarkEnd w:id="31"/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2.9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一键生成报告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评估完成自动生成CGA评估报告，可一键查看；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2.10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报告格式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评估报告可以导出为PDF格式，导出后的报告保持原格式和内容的完整性，方便用户进行打印、存档或分享；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2.11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统计分析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具备数据统计功能，包含年龄分布、性别分布、评估分布（门诊评估、住院评估、社区评估）、评估分类（衰弱、肌少症、认知障碍）、文化程度分布、疾病分类（统计平台所有患者急慢性疾病占比及人数情况）、量表使用占比（评估中量表使用频率占比）、综合症异常率（量表评估中出现异常结果数据占比）等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bookmarkStart w:id="32" w:name="OLE_LINK7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  <w:bookmarkEnd w:id="32"/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2.12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量表分析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提供老年综合评估量表评估结果的异常量及异常率查询功能，并支持相关数据的统计分析，以直观展示评估异常情况；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2.13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量表统计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量表使用量统计，自动获取老年综合评估量表的使用频次，帮助科室管理者了解评估工具的实际应用情况；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2.14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评估结果对比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同一患者支持多次评估记录可视化对比，实现患者多次量表评估结果的数据对比展示，通过具体数据，直观呈现评估结果的变化趋势，为临床决策提供依据。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2.15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评估自测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提供独立访问入口，按需嵌入到医院指定的微信号；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2.16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自测量表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老年评估自测，提供认知功能的自评估，如记忆力、注意力等；心理健康状况的自评，例如抑郁情况、焦虑程度等；以及睡眠、衰弱情况的评估等；自测量表不低于5个；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2.17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自评结果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老年评估自测，根据评估结果，提供清晰的评估结果分析和针对性的指导意见。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2.18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自评数据共享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老年评估自测结果，可以实现院内数据共享，医护可按需调阅。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系统对接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根据医院需求对接HIS及其他医疗业务系统, 并免费提供相关接口服务。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硬件要求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平板电脑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2台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4.1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处理器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处理器主频≥3.0GHZ；处理器核数≥8 ；GPU频率≥900MHZ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4.2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屏幕尺寸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≥12英寸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4.3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内存及存储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内存：≥8G；存储容量：≥128G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4.4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分辨率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≥2560×1600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4.5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前后摄像头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≥800万像素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4.6</w:t>
            </w: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操作系统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</w:p>
        </w:tc>
        <w:tc>
          <w:tcPr>
            <w:tcW w:w="2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支持Android及国产主流系统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否</w:t>
            </w:r>
          </w:p>
        </w:tc>
        <w:tc>
          <w:tcPr>
            <w:tcW w:w="6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（1）★指标为必须响应指标，任意一项不满足要求即做废标处理；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（2）《采购需求表》备注已明确证明材料种类的，以所注内容或国家行政管理部门、专业检测机构出具的证明材料为准。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>（3）★标识指标及▲标识指标须提供技术支持材料，支持材料包括但不限于以下任意一种或几种：产品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（4）无标识指标正偏离需参照上述要求提供技术支持材料，未提供的正偏离不予认可。</w:t>
      </w:r>
    </w:p>
    <w:p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/>
        </w:rPr>
        <w:t>（5）加注“★”、“▲”号的技术指标均需投标企业提供证明材料（证明材料为“企业承诺的，在技术商务指标参数响应偏离表中体现即可）。</w:t>
      </w: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bookmarkStart w:id="33" w:name="_GoBack"/>
      <w:bookmarkEnd w:id="3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74265"/>
    <w:multiLevelType w:val="singleLevel"/>
    <w:tmpl w:val="565742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11215635"/>
    <w:rsid w:val="2DC84D9F"/>
    <w:rsid w:val="3B45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2025-10-14T06:54:00Z</dcterms:created>
  <dc:creator>DOCTOR</dc:creator>
  <cp:lastModifiedBy>DOCTOR</cp:lastModifiedBy>
  <dcterms:modified xsi:type="dcterms:W3CDTF">2025-10-17T00:20:10Z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0D4BCEBFF7D34580A74D24555BF277FF_12</vt:lpwstr>
  </property>
</Properties>
</file>