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ind w:firstLine="0" w:firstLineChars="0"/>
        <w:jc w:val="center"/>
        <w:outlineLvl w:val="0"/>
        <w:rPr>
          <w:rFonts w:eastAsia="方正小标宋简体"/>
          <w:kern w:val="0"/>
          <w:sz w:val="44"/>
          <w:szCs w:val="44"/>
        </w:rPr>
      </w:pPr>
      <w:bookmarkStart w:id="0" w:name="_Toc23828"/>
      <w:bookmarkStart w:id="1" w:name="_Toc27147"/>
      <w:bookmarkStart w:id="2" w:name="_Toc128151306"/>
      <w:bookmarkStart w:id="3" w:name="_Toc19995"/>
      <w:bookmarkStart w:id="4" w:name="_Toc28981"/>
      <w:bookmarkStart w:id="5" w:name="_Toc112768491"/>
      <w:bookmarkStart w:id="6" w:name="_Toc121476580"/>
      <w:bookmarkStart w:id="7" w:name="_Toc28299"/>
      <w:bookmarkStart w:id="8" w:name="_Toc130888538"/>
      <w:bookmarkStart w:id="9" w:name="_Toc21632"/>
      <w:bookmarkStart w:id="10" w:name="_Toc150352114"/>
      <w:bookmarkStart w:id="11" w:name="_Toc132399636"/>
      <w:bookmarkStart w:id="12" w:name="_Toc113349538"/>
      <w:bookmarkStart w:id="13" w:name="_Toc29657"/>
      <w:r>
        <w:rPr>
          <w:rFonts w:hint="eastAsia" w:eastAsia="方正小标宋简体"/>
          <w:kern w:val="0"/>
          <w:sz w:val="44"/>
          <w:szCs w:val="44"/>
        </w:rPr>
        <w:t>第六章</w:t>
      </w:r>
      <w:r>
        <w:rPr>
          <w:rFonts w:eastAsia="方正小标宋简体"/>
          <w:kern w:val="0"/>
          <w:sz w:val="44"/>
          <w:szCs w:val="44"/>
        </w:rPr>
        <w:t xml:space="preserve"> </w:t>
      </w:r>
      <w:r>
        <w:rPr>
          <w:rFonts w:hint="eastAsia" w:eastAsia="方正小标宋简体"/>
          <w:kern w:val="0"/>
          <w:sz w:val="44"/>
          <w:szCs w:val="44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7"/>
        <w:spacing w:line="560" w:lineRule="exact"/>
        <w:ind w:firstLine="560"/>
        <w:rPr>
          <w:rFonts w:hint="eastAsia" w:ascii="宋体" w:hAnsi="宋体"/>
          <w:sz w:val="28"/>
          <w:szCs w:val="28"/>
          <w:lang w:val="zh-CN"/>
        </w:rPr>
      </w:pPr>
      <w:bookmarkStart w:id="14" w:name="_Toc121476582"/>
      <w:bookmarkStart w:id="15" w:name="_Toc20518"/>
      <w:bookmarkStart w:id="16" w:name="_Toc112681847"/>
      <w:bookmarkStart w:id="17" w:name="_Toc16726"/>
      <w:bookmarkStart w:id="18" w:name="_Toc113349540"/>
      <w:bookmarkStart w:id="19" w:name="_Toc112768493"/>
      <w:bookmarkStart w:id="20" w:name="_Toc32238"/>
      <w:bookmarkStart w:id="21" w:name="_Toc624"/>
      <w:bookmarkStart w:id="22" w:name="_Toc128151307"/>
      <w:bookmarkStart w:id="23" w:name="_Toc5753"/>
      <w:bookmarkStart w:id="24" w:name="_Toc31915"/>
      <w:bookmarkStart w:id="25" w:name="_Toc14187"/>
      <w:bookmarkStart w:id="26" w:name="_Toc19477"/>
      <w:r>
        <w:rPr>
          <w:rFonts w:hint="eastAsia" w:ascii="宋体" w:hAnsi="宋体"/>
          <w:sz w:val="28"/>
          <w:szCs w:val="28"/>
          <w:lang w:val="zh-CN"/>
        </w:rPr>
        <w:t>单一来源采购项目所有指标均不接受负偏离，经谈判后任意一项不满足采购文件要求，即按废标处理。</w:t>
      </w:r>
    </w:p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eastAsia="黑体"/>
          <w:b/>
          <w:sz w:val="28"/>
          <w:szCs w:val="28"/>
        </w:rPr>
      </w:pPr>
      <w:bookmarkStart w:id="27" w:name="_Toc18800"/>
      <w:r>
        <w:rPr>
          <w:rFonts w:hint="eastAsia" w:eastAsia="黑体"/>
          <w:sz w:val="28"/>
          <w:szCs w:val="28"/>
        </w:rPr>
        <w:t>一、商务要求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Style w:val="5"/>
        <w:tblW w:w="93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1287"/>
        <w:gridCol w:w="834"/>
        <w:gridCol w:w="4450"/>
        <w:gridCol w:w="825"/>
        <w:gridCol w:w="107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</w:t>
            </w:r>
            <w:bookmarkStart w:id="30" w:name="_GoBack"/>
            <w:bookmarkEnd w:id="3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行业相关标准规范，产品确保包装完好，运输确保不对产品造成损伤。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（（质保））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维修响应时间≤4小时，维修到达现场时间≤24小时。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after="120" w:afterLines="50" w:line="240" w:lineRule="auto"/>
              <w:jc w:val="both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企业承诺及清单（消耗性配件、高值配件清单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参考通用部分“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易损易耗件清单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”）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企业承诺及专用工具清单（专用工具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填写列入到“交货清单”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应当按照统一要求在物资交付前完成打码贴签工作。本项目对物资的编目编码、打码贴签要求，报价供应商应当予以明确响应，相关费用包含在报价中。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宋体" w:asciiTheme="minorEastAsia" w:hAnsiTheme="minorEastAsia"/>
                <w:color w:val="FF0000"/>
                <w:w w:val="90"/>
                <w:kern w:val="0"/>
                <w:sz w:val="20"/>
                <w:szCs w:val="20"/>
              </w:rPr>
              <w:t>12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基于项目合同履行形成的知识产权和其他权益，其权属归采购单位所有，法律另有规定的除外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eastAsia="黑体"/>
          <w:b/>
          <w:sz w:val="28"/>
          <w:szCs w:val="28"/>
        </w:rPr>
      </w:pPr>
      <w:bookmarkStart w:id="28" w:name="_Toc6548"/>
      <w:bookmarkStart w:id="29" w:name="_Toc851"/>
      <w:r>
        <w:rPr>
          <w:rFonts w:hint="eastAsia" w:eastAsia="黑体"/>
          <w:sz w:val="28"/>
          <w:szCs w:val="28"/>
        </w:rPr>
        <w:t>二、技术要求</w:t>
      </w:r>
      <w:bookmarkEnd w:id="28"/>
      <w:bookmarkEnd w:id="29"/>
    </w:p>
    <w:tbl>
      <w:tblPr>
        <w:tblStyle w:val="5"/>
        <w:tblW w:w="93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834"/>
        <w:gridCol w:w="452"/>
        <w:gridCol w:w="834"/>
        <w:gridCol w:w="835"/>
        <w:gridCol w:w="834"/>
        <w:gridCol w:w="1948"/>
        <w:gridCol w:w="834"/>
        <w:gridCol w:w="826"/>
        <w:gridCol w:w="106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66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2025-JQ06-W5031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内镜用超声探头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36（3条）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45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0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3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用于对消化道及其周边器官的超声检查，适配现有奥林巴斯EU-ME1主机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显示模式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B模式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扫描方向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垂直于插入方向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扫描方式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机械环形扫描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20MHz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有效长度≥2050mm，全长≥2140mm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插入部外径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≤2.4mm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配置要求（至少包括但不限于）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内镜用超声探头3条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按照投标文件、采购合同、质量标准等，组织对医疗设备进行质量验收，出具验收报告。验收过程中对于核心参数存疑需检测的，可委托地方具有相应检测能力的机构提供技术支持，相关费用由投标方承担。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技术指标要求均不接受负偏离。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相关证明材料</w:t>
      </w:r>
      <w:r>
        <w:rPr>
          <w:rFonts w:ascii="宋体" w:hAnsi="宋体" w:cs="宋体"/>
          <w:kern w:val="0"/>
          <w:sz w:val="22"/>
          <w:szCs w:val="22"/>
          <w:lang w:bidi="ar"/>
        </w:rPr>
        <w:t>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rPr>
          <w:rFonts w:hint="eastAsia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322808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59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楷体_GB2312" w:hAnsi="楷体" w:eastAsia="楷体_GB2312" w:cs="楷体"/>
        <w:sz w:val="21"/>
        <w:szCs w:val="21"/>
      </w:rPr>
    </w:pPr>
    <w:r>
      <w:rPr>
        <w:sz w:val="18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38470" cy="8891270"/>
          <wp:effectExtent l="0" t="0" r="5080" b="5080"/>
          <wp:wrapNone/>
          <wp:docPr id="10" name="WordPictureWatermark22481" descr="水印图片-中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22481" descr="水印图片-中深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8470" cy="889127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第六章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1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2025-11-18T09:48:16Z</dcterms:created>
  <dc:creator>admin</dc:creator>
  <cp:lastModifiedBy>admin</cp:lastModifiedBy>
  <dcterms:modified xsi:type="dcterms:W3CDTF">2025-11-18T09:48:42Z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