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443"/>
        <w:gridCol w:w="666"/>
        <w:gridCol w:w="4493"/>
        <w:gridCol w:w="727"/>
        <w:gridCol w:w="11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  <w:t>用于患者组织间液葡萄糖水平的连续监测。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  <w:t>具有CFDA。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使用时长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  <w:t>≥14天。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设备MARD值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  <w:t>＜9.5%。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传输功能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  <w:t>具备主动实时传输功能。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集成设计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  <w:t>传感器、发射器一体化集成设计。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监测频率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jc w:val="left"/>
              <w:rPr>
                <w:rFonts w:hint="default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  <w:t>≤</w:t>
            </w:r>
            <w:r>
              <w:rPr>
                <w:rFonts w:hint="eastAsia" w:hAnsi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  <w:t>3</w:t>
            </w:r>
            <w:r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  <w:t>分钟/次。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  <w:t>监测范围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  <w:t>≥2.0mmol/L-25.0mmol/L。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  <w:t>初始化时间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  <w:t>≤60分钟。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校准功能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  <w:t>具备校准功能。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防尘防水等级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  <w:t>满足IP28以上。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12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使用部位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  <w:t>≥2个，包括腹部及上臂。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13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配置要求1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  <w:t>应当满足患者使用持续葡萄糖监测软件1套，用于接收和显示葡萄糖浓度，并在超出预设的血糖值上限和下限时进行提醒。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14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配置要求2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  <w:t>应当满足医护查询患者葡萄糖变化情况的血糖集中管理软件1套，在超出预设的血糖值上限和下限时进行提醒，自动生成专业可视化数据报告。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15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配置要求3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  <w:t>该系统为医院版本，具备与医院系统对接能力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16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配置要求4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  <w:t>免费提供后续软件升级及与医院系统对接。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DQ3ZjMzOTY5MWI5OWQ5MThmMTU1NGRhOTc5MGIifQ=="/>
  </w:docVars>
  <w:rsids>
    <w:rsidRoot w:val="00000000"/>
    <w:rsid w:val="55EA3250"/>
    <w:rsid w:val="7AA8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3">
    <w:name w:val="Body Text"/>
    <w:basedOn w:val="1"/>
    <w:next w:val="1"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2025-10-13T00:00:00Z</dcterms:created>
  <dc:creator>admin</dc:creator>
  <cp:lastModifiedBy>admin</cp:lastModifiedBy>
  <dcterms:modified xsi:type="dcterms:W3CDTF">2025-11-25T10:45:24Z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CF5439E30A224B1C963E6C089813B162</vt:lpwstr>
  </property>
</Properties>
</file>