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0" w:name="_Toc132188922"/>
      <w:bookmarkStart w:id="1" w:name="_Toc130888893"/>
      <w:bookmarkStart w:id="2" w:name="_Toc128753410"/>
      <w:bookmarkStart w:id="3" w:name="_Toc132191961"/>
      <w:bookmarkStart w:id="4" w:name="_Toc128403798"/>
      <w:bookmarkStart w:id="5" w:name="_Toc152058663"/>
      <w:bookmarkStart w:id="6" w:name="_Toc130664008"/>
      <w:bookmarkStart w:id="7" w:name="_Toc128156340"/>
      <w:bookmarkStart w:id="8" w:name="_Toc150423542"/>
      <w:r>
        <w:rPr>
          <w:rFonts w:hint="eastAsia" w:ascii="黑体" w:hAnsi="黑体" w:cs="黑体"/>
          <w:b w:val="0"/>
          <w:sz w:val="28"/>
          <w:szCs w:val="28"/>
        </w:rPr>
        <w:t>一、商务要求</w:t>
      </w:r>
    </w:p>
    <w:tbl>
      <w:tblPr>
        <w:tblStyle w:val="5"/>
        <w:tblW w:w="4998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2010"/>
        <w:gridCol w:w="693"/>
        <w:gridCol w:w="3642"/>
        <w:gridCol w:w="129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维修响应时间≤6小时，维修到达现场时间≤8小时。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★</w:t>
            </w:r>
          </w:p>
        </w:tc>
        <w:tc>
          <w:tcPr>
            <w:tcW w:w="4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报价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供应商应当保证采购单位在使用该物资或其任何一部分时，不受第三方侵权指控。同时，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报价</w:t>
            </w: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供应商不得向第三方泄露采购机构提供的技术文件等材料。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/>
        </w:rPr>
      </w:pPr>
    </w:p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sz w:val="28"/>
          <w:szCs w:val="28"/>
        </w:rPr>
      </w:pPr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tbl>
      <w:tblPr>
        <w:tblStyle w:val="5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602"/>
        <w:gridCol w:w="791"/>
        <w:gridCol w:w="812"/>
        <w:gridCol w:w="65"/>
        <w:gridCol w:w="567"/>
        <w:gridCol w:w="719"/>
        <w:gridCol w:w="136"/>
        <w:gridCol w:w="1048"/>
        <w:gridCol w:w="839"/>
        <w:gridCol w:w="211"/>
        <w:gridCol w:w="535"/>
        <w:gridCol w:w="649"/>
        <w:gridCol w:w="9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0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2025-JQ06-W5026</w:t>
            </w:r>
          </w:p>
        </w:tc>
        <w:tc>
          <w:tcPr>
            <w:tcW w:w="8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1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穿戴式动态心电分析系统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085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13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25.8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用于人体连续72小时动态心电信号的记录和实时监测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资质认证1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硬件具备NMPA认证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资质认证2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软件具备NMPA三类认证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系统噪声 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≤50μV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导联体系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三个导联位置，至少包含标准二导联及一个胸前导联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设备是否需要充电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记录仪不需要充电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起搏脉冲显示能力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可显示2mV-200mV、0.1ms-2.0ms、上升时间＜100μs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频率响应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0.05Hz~40Hz的正弦信号，幅度为±3db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安全要求符合 GB9706.1、YY 0885、GB/T14710、YY0505、GB/T 16886 等相关要求。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计时准确性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24h内误差≤30s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动态输入范围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9"/>
                <w:lang w:val="en-US" w:eastAsia="zh-CN" w:bidi="ar"/>
              </w:rPr>
              <w:t>耐极化电压≥±300mV，≤10%或50</w:t>
            </w:r>
            <w:r>
              <w:rPr>
                <w:rStyle w:val="10"/>
                <w:rFonts w:eastAsia="宋体"/>
                <w:lang w:val="en-US" w:eastAsia="zh-CN" w:bidi="ar"/>
              </w:rPr>
              <w:t>μ</w:t>
            </w:r>
            <w:r>
              <w:rPr>
                <w:rStyle w:val="9"/>
                <w:lang w:val="en-US" w:eastAsia="zh-CN" w:bidi="ar"/>
              </w:rPr>
              <w:t>V； 输入阻抗：≥10M</w:t>
            </w:r>
            <w:r>
              <w:rPr>
                <w:rStyle w:val="10"/>
                <w:rFonts w:eastAsia="宋体"/>
                <w:lang w:val="en-US" w:eastAsia="zh-CN" w:bidi="ar"/>
              </w:rPr>
              <w:t>Ω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共模抑制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网电源≥60db，双倍网电源≥45db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增益精度及稳定性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精度≤±10%；稳定性24h不超过3%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道间干扰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≤0.2mV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最小监测信号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10Hz，50μV正弦信号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8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时间轴对齐</w:t>
            </w:r>
          </w:p>
        </w:tc>
        <w:tc>
          <w:tcPr>
            <w:tcW w:w="52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同一频率响应限值≤±20ms或±0.5mm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13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6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配套使用软件符合标准GB/T 25000.51的相关要求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3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硬件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电脑配置最低要求: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处理器：i3-10100（入门级四核处理器）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内存容量：8G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硬盘容量：512 GB SSD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显卡：共享系统内存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操作系统：win 7 SP1/10 ，64 位操作系统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屏幕：标配21.5英寸（1920x1080）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打印机：惠普P1108plus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6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44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95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企业承诺及注册证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61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3388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Segoe UI Symbol" w:hAnsi="Segoe UI Symbol" w:eastAsia="Segoe UI Symbol" w:cs="Segoe UI Symbol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lang w:val="en-US" w:eastAsia="zh-CN" w:bidi="ar"/>
              </w:rPr>
              <w:t>□</w:t>
            </w:r>
            <w:r>
              <w:rPr>
                <w:rStyle w:val="11"/>
                <w:lang w:val="en-US" w:eastAsia="zh-CN" w:bidi="ar"/>
              </w:rPr>
              <w:t xml:space="preserve">公开招标    </w:t>
            </w:r>
            <w:r>
              <w:rPr>
                <w:rStyle w:val="8"/>
                <w:lang w:val="en-US" w:eastAsia="zh-CN" w:bidi="ar"/>
              </w:rPr>
              <w:t>□</w:t>
            </w:r>
            <w:r>
              <w:rPr>
                <w:rStyle w:val="11"/>
                <w:lang w:val="en-US" w:eastAsia="zh-CN" w:bidi="ar"/>
              </w:rPr>
              <w:t xml:space="preserve">邀请招标   □竞争性谈判    </w:t>
            </w:r>
            <w:r>
              <w:rPr>
                <w:rStyle w:val="8"/>
                <w:lang w:val="en-US" w:eastAsia="zh-CN" w:bidi="ar"/>
              </w:rPr>
              <w:t>☑</w:t>
            </w:r>
            <w:r>
              <w:rPr>
                <w:rStyle w:val="11"/>
                <w:lang w:val="en-US" w:eastAsia="zh-CN" w:bidi="ar"/>
              </w:rPr>
              <w:t xml:space="preserve">单一来源     </w:t>
            </w:r>
            <w:r>
              <w:rPr>
                <w:rStyle w:val="8"/>
                <w:lang w:val="en-US" w:eastAsia="zh-CN" w:bidi="ar"/>
              </w:rPr>
              <w:t>□</w:t>
            </w:r>
            <w:r>
              <w:rPr>
                <w:rStyle w:val="11"/>
                <w:lang w:val="en-US" w:eastAsia="zh-CN" w:bidi="ar"/>
              </w:rPr>
              <w:t>询价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4" w:hRule="atLeast"/>
        </w:trPr>
        <w:tc>
          <w:tcPr>
            <w:tcW w:w="5000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注：1.单一来源采购项目所有指标均不接受负偏离，经谈判后任意一项不满足采购文件要求，即按废标处理。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default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技术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 标要求可以提供投标人响应承诺；技术要求中已明确证明材料种类的，以所注内容为准（或提供更高层级证明材料）。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7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穿戴式动态心电分析系统</w:t>
            </w:r>
          </w:p>
        </w:tc>
        <w:tc>
          <w:tcPr>
            <w:tcW w:w="7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90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  <w:t>2025-JQ06-W5026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4388" w:type="pct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8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※规格</w:t>
            </w:r>
          </w:p>
        </w:tc>
        <w:tc>
          <w:tcPr>
            <w:tcW w:w="7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7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最高限价（元）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61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6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穿戴式心电传感器</w:t>
            </w:r>
          </w:p>
        </w:tc>
        <w:tc>
          <w:tcPr>
            <w:tcW w:w="809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7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62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片</w:t>
            </w:r>
          </w:p>
        </w:tc>
        <w:tc>
          <w:tcPr>
            <w:tcW w:w="71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1392000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2.计量单位为最小使用单位。</w:t>
            </w:r>
          </w:p>
        </w:tc>
      </w:tr>
    </w:tbl>
    <w:p>
      <w:bookmarkStart w:id="9" w:name="_GoBack"/>
      <w:bookmarkEnd w:id="9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楷体_GB2312" w:hAnsi="楷体" w:eastAsia="楷体_GB2312" w:cs="楷体"/>
        <w:sz w:val="21"/>
        <w:szCs w:val="21"/>
      </w:rPr>
    </w:pPr>
    <w:r>
      <w:rPr>
        <w:sz w:val="21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38470" cy="8891270"/>
          <wp:effectExtent l="0" t="0" r="5080" b="5080"/>
          <wp:wrapNone/>
          <wp:docPr id="14" name="WordPictureWatermark248091" descr="水印图片-加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248091" descr="水印图片-加深"/>
                  <pic:cNvPicPr>
                    <a:picLocks noChangeAspect="1"/>
                  </pic:cNvPicPr>
                </pic:nvPicPr>
                <pic:blipFill>
                  <a:blip r:embed="rId1">
                    <a:lum bright="70000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8470" cy="8891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EF052B"/>
    <w:rsid w:val="41E5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31"/>
    <w:basedOn w:val="6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8">
    <w:name w:val="font41"/>
    <w:basedOn w:val="6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9">
    <w:name w:val="font5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21"/>
    <w:basedOn w:val="6"/>
    <w:qFormat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11">
    <w:name w:val="font61"/>
    <w:basedOn w:val="6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2025-09-16T09:55:00Z</dcterms:created>
  <dc:creator>admin</dc:creator>
  <cp:lastModifiedBy>admin</cp:lastModifiedBy>
  <dcterms:modified xsi:type="dcterms:W3CDTF">2025-12-04T00:02:34Z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