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pPr w:leftFromText="180" w:rightFromText="180" w:vertAnchor="text" w:horzAnchor="page" w:tblpX="1562" w:tblpY="807"/>
        <w:tblOverlap w:val="never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809"/>
        <w:gridCol w:w="2401"/>
        <w:gridCol w:w="1286"/>
        <w:gridCol w:w="649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采购计划</w:t>
            </w: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十二项细胞因子检测试剂盒(流式荧光发光法)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最高限价（万元）</w:t>
            </w:r>
          </w:p>
        </w:tc>
        <w:tc>
          <w:tcPr>
            <w:tcW w:w="1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性质</w:t>
            </w:r>
          </w:p>
        </w:tc>
        <w:tc>
          <w:tcPr>
            <w:tcW w:w="4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需求具体内容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是否</w:t>
            </w: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★</w:t>
            </w:r>
          </w:p>
        </w:tc>
        <w:tc>
          <w:tcPr>
            <w:tcW w:w="4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Cs w:val="21"/>
                <w:lang w:bidi="ar"/>
              </w:rPr>
              <w:t>用于检测人血清中IL-1B/IL-2/IL-4/IL-5/IL-6/IL-8/IL-10/IL-12p70/IL-17/TNFa/IFN-Y/IFN-a的表达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Cs w:val="21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Cs w:val="21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Cs w:val="21"/>
              </w:rPr>
            </w:pPr>
            <w:r>
              <w:rPr>
                <w:rFonts w:hint="eastAsia" w:ascii="黑体" w:hAnsi="黑体" w:eastAsia="黑体" w:cs="黑体"/>
                <w:iCs/>
                <w:szCs w:val="21"/>
              </w:rPr>
              <w:t>注册证或</w:t>
            </w:r>
            <w:r>
              <w:rPr>
                <w:rFonts w:hint="eastAsia" w:ascii="黑体" w:hAnsi="宋体" w:eastAsia="黑体" w:cs="黑体"/>
                <w:iCs/>
                <w:kern w:val="0"/>
                <w:szCs w:val="21"/>
                <w:lang w:bidi="ar"/>
              </w:rPr>
              <w:t>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资质要求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★</w:t>
            </w:r>
          </w:p>
        </w:tc>
        <w:tc>
          <w:tcPr>
            <w:tcW w:w="4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具备二类医疗器械注册证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Cs w:val="21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Cs w:val="21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Cs w:val="21"/>
              </w:rPr>
            </w:pPr>
            <w:r>
              <w:rPr>
                <w:rFonts w:hint="eastAsia" w:ascii="黑体" w:hAnsi="黑体" w:eastAsia="黑体" w:cs="黑体"/>
                <w:iCs/>
                <w:szCs w:val="21"/>
              </w:rPr>
              <w:t>注册证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适配机型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★</w:t>
            </w:r>
          </w:p>
        </w:tc>
        <w:tc>
          <w:tcPr>
            <w:tcW w:w="4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流式</w:t>
            </w:r>
            <w:r>
              <w:rPr>
                <w:rFonts w:ascii="黑体" w:hAnsi="黑体" w:eastAsia="黑体" w:cs="黑体"/>
                <w:kern w:val="0"/>
                <w:szCs w:val="21"/>
                <w:lang w:bidi="ar"/>
              </w:rPr>
              <w:t>细胞仪：</w:t>
            </w: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唯公Easycell 206A1或BD品牌</w:t>
            </w:r>
            <w:r>
              <w:rPr>
                <w:rFonts w:ascii="黑体" w:hAnsi="黑体" w:eastAsia="黑体" w:cs="黑体"/>
                <w:kern w:val="0"/>
                <w:szCs w:val="21"/>
                <w:lang w:bidi="ar"/>
              </w:rPr>
              <w:t>的</w:t>
            </w: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流式</w:t>
            </w:r>
            <w:r>
              <w:rPr>
                <w:rFonts w:ascii="黑体" w:hAnsi="黑体" w:eastAsia="黑体" w:cs="黑体"/>
                <w:kern w:val="0"/>
                <w:szCs w:val="21"/>
                <w:lang w:bidi="ar"/>
              </w:rPr>
              <w:t>细胞仪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Cs w:val="21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Cs w:val="21"/>
                <w:lang w:bidi="ar"/>
              </w:rPr>
              <w:t>说明书或</w:t>
            </w:r>
            <w:r>
              <w:rPr>
                <w:rFonts w:hint="eastAsia" w:ascii="黑体" w:hAnsi="宋体" w:eastAsia="黑体" w:cs="黑体"/>
                <w:iCs/>
                <w:kern w:val="0"/>
                <w:szCs w:val="21"/>
                <w:lang w:bidi="ar"/>
              </w:rPr>
              <w:t>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最低检测限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  <w:lang w:bidi="ar"/>
              </w:rPr>
              <w:t>▲</w:t>
            </w:r>
          </w:p>
        </w:tc>
        <w:tc>
          <w:tcPr>
            <w:tcW w:w="4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szCs w:val="21"/>
              </w:rPr>
            </w:pPr>
            <w:r>
              <w:rPr>
                <w:rFonts w:hint="eastAsia" w:ascii="黑体" w:hAnsi="黑体" w:eastAsia="黑体" w:cs="黑体"/>
                <w:iCs/>
                <w:szCs w:val="21"/>
              </w:rPr>
              <w:t>十二项检测均不高于2.4pg/mL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Cs w:val="21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Cs w:val="21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Cs w:val="21"/>
              </w:rPr>
            </w:pPr>
            <w:r>
              <w:rPr>
                <w:rFonts w:hint="eastAsia" w:ascii="黑体" w:hAnsi="黑体" w:eastAsia="黑体" w:cs="黑体"/>
                <w:iCs/>
                <w:szCs w:val="21"/>
              </w:rPr>
              <w:t>注册证或</w:t>
            </w:r>
            <w:r>
              <w:rPr>
                <w:rFonts w:hint="eastAsia" w:ascii="黑体" w:hAnsi="宋体" w:eastAsia="黑体" w:cs="黑体"/>
                <w:iCs/>
                <w:kern w:val="0"/>
                <w:szCs w:val="21"/>
                <w:lang w:bidi="ar"/>
              </w:rPr>
              <w:t>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重复性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4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szCs w:val="21"/>
              </w:rPr>
            </w:pPr>
            <w:r>
              <w:rPr>
                <w:rFonts w:hint="eastAsia" w:ascii="黑体" w:hAnsi="黑体" w:eastAsia="黑体" w:cs="黑体"/>
                <w:iCs/>
                <w:szCs w:val="21"/>
              </w:rPr>
              <w:t>变异系数CV≤15%。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Cs w:val="21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Cs w:val="21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Cs w:val="21"/>
              </w:rPr>
            </w:pPr>
            <w:r>
              <w:rPr>
                <w:rFonts w:hint="eastAsia" w:ascii="黑体" w:hAnsi="黑体" w:eastAsia="黑体" w:cs="黑体"/>
                <w:iCs/>
                <w:szCs w:val="21"/>
              </w:rPr>
              <w:t>注册证或</w:t>
            </w:r>
            <w:r>
              <w:rPr>
                <w:rFonts w:hint="eastAsia" w:ascii="黑体" w:hAnsi="宋体" w:eastAsia="黑体" w:cs="黑体"/>
                <w:iCs/>
                <w:kern w:val="0"/>
                <w:szCs w:val="21"/>
                <w:lang w:bidi="ar"/>
              </w:rPr>
              <w:t>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检测原理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  <w:lang w:bidi="ar"/>
              </w:rPr>
              <w:t>▲</w:t>
            </w:r>
          </w:p>
        </w:tc>
        <w:tc>
          <w:tcPr>
            <w:tcW w:w="4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szCs w:val="21"/>
              </w:rPr>
            </w:pPr>
            <w:r>
              <w:rPr>
                <w:rFonts w:hint="eastAsia" w:ascii="黑体" w:hAnsi="黑体" w:eastAsia="黑体" w:cs="黑体"/>
                <w:iCs/>
                <w:szCs w:val="21"/>
              </w:rPr>
              <w:t>采用双抗体流式</w:t>
            </w:r>
            <w:r>
              <w:rPr>
                <w:rFonts w:ascii="黑体" w:hAnsi="黑体" w:eastAsia="黑体" w:cs="黑体"/>
                <w:iCs/>
                <w:szCs w:val="21"/>
              </w:rPr>
              <w:t>荧光发光</w:t>
            </w:r>
            <w:r>
              <w:rPr>
                <w:rFonts w:hint="eastAsia" w:ascii="黑体" w:hAnsi="黑体" w:eastAsia="黑体" w:cs="黑体"/>
                <w:iCs/>
                <w:szCs w:val="21"/>
              </w:rPr>
              <w:t>技术，</w:t>
            </w:r>
            <w:r>
              <w:rPr>
                <w:rFonts w:ascii="黑体" w:hAnsi="黑体" w:eastAsia="黑体" w:cs="黑体"/>
                <w:iCs/>
                <w:szCs w:val="21"/>
              </w:rPr>
              <w:t>利用捕获微球抗体检测。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Cs w:val="21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Cs w:val="21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Cs w:val="21"/>
              </w:rPr>
            </w:pPr>
            <w:r>
              <w:rPr>
                <w:rFonts w:hint="eastAsia" w:ascii="黑体" w:hAnsi="黑体" w:eastAsia="黑体" w:cs="黑体"/>
                <w:iCs/>
                <w:szCs w:val="21"/>
              </w:rPr>
              <w:t>注册证或</w:t>
            </w:r>
            <w:r>
              <w:rPr>
                <w:rFonts w:hint="eastAsia" w:ascii="黑体" w:hAnsi="宋体" w:eastAsia="黑体" w:cs="黑体"/>
                <w:iCs/>
                <w:kern w:val="0"/>
                <w:szCs w:val="21"/>
                <w:lang w:bidi="ar"/>
              </w:rPr>
              <w:t>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szCs w:val="21"/>
              </w:rPr>
              <w:t>线性范围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  <w:lang w:bidi="ar"/>
              </w:rPr>
              <w:t>▲</w:t>
            </w:r>
          </w:p>
        </w:tc>
        <w:tc>
          <w:tcPr>
            <w:tcW w:w="4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szCs w:val="21"/>
              </w:rPr>
            </w:pPr>
            <w:r>
              <w:rPr>
                <w:rFonts w:hint="eastAsia" w:ascii="黑体" w:hAnsi="黑体" w:eastAsia="黑体" w:cs="黑体"/>
                <w:iCs/>
                <w:szCs w:val="21"/>
              </w:rPr>
              <w:t xml:space="preserve"> 2.4-2500pg/mL的内，相关系数(r)≥0.970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Cs w:val="21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szCs w:val="21"/>
              </w:rPr>
              <w:t>注册证或</w:t>
            </w:r>
            <w:r>
              <w:rPr>
                <w:rFonts w:hint="eastAsia" w:ascii="黑体" w:hAnsi="宋体" w:eastAsia="黑体" w:cs="黑体"/>
                <w:iCs/>
                <w:kern w:val="0"/>
                <w:szCs w:val="21"/>
                <w:lang w:bidi="ar"/>
              </w:rPr>
              <w:t>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存储</w:t>
            </w:r>
            <w:r>
              <w:rPr>
                <w:rFonts w:ascii="黑体" w:hAnsi="黑体" w:eastAsia="黑体" w:cs="黑体"/>
                <w:kern w:val="0"/>
                <w:szCs w:val="21"/>
                <w:lang w:bidi="ar"/>
              </w:rPr>
              <w:t>条件及效期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Cs w:val="21"/>
                <w:lang w:bidi="ar"/>
              </w:rPr>
            </w:pPr>
          </w:p>
        </w:tc>
        <w:tc>
          <w:tcPr>
            <w:tcW w:w="4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2℃～8℃，有效期</w:t>
            </w:r>
            <w:r>
              <w:rPr>
                <w:rFonts w:ascii="黑体" w:hAnsi="黑体" w:eastAsia="黑体" w:cs="黑体"/>
                <w:kern w:val="0"/>
                <w:szCs w:val="21"/>
                <w:lang w:bidi="ar"/>
              </w:rPr>
              <w:t>≥12</w:t>
            </w: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个</w:t>
            </w:r>
            <w:r>
              <w:rPr>
                <w:rFonts w:ascii="黑体" w:hAnsi="黑体" w:eastAsia="黑体" w:cs="黑体"/>
                <w:kern w:val="0"/>
                <w:szCs w:val="21"/>
                <w:lang w:bidi="ar"/>
              </w:rPr>
              <w:t>月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Cs w:val="21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Cs w:val="21"/>
              </w:rPr>
            </w:pPr>
            <w:r>
              <w:rPr>
                <w:rFonts w:hint="eastAsia" w:ascii="黑体" w:hAnsi="黑体" w:eastAsia="黑体" w:cs="黑体"/>
                <w:iCs/>
                <w:szCs w:val="21"/>
              </w:rPr>
              <w:t>注册证或</w:t>
            </w:r>
            <w:r>
              <w:rPr>
                <w:rFonts w:hint="eastAsia" w:ascii="黑体" w:hAnsi="宋体" w:eastAsia="黑体" w:cs="黑体"/>
                <w:iCs/>
                <w:kern w:val="0"/>
                <w:szCs w:val="21"/>
                <w:lang w:bidi="ar"/>
              </w:rPr>
              <w:t>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ascii="黑体" w:hAnsi="黑体" w:eastAsia="黑体" w:cs="黑体"/>
                <w:kern w:val="0"/>
                <w:szCs w:val="21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特异性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Cs w:val="21"/>
                <w:lang w:bidi="ar"/>
              </w:rPr>
            </w:pPr>
          </w:p>
        </w:tc>
        <w:tc>
          <w:tcPr>
            <w:tcW w:w="4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szCs w:val="21"/>
              </w:rPr>
            </w:pPr>
            <w:r>
              <w:rPr>
                <w:rFonts w:hint="eastAsia" w:ascii="黑体" w:hAnsi="黑体" w:eastAsia="黑体" w:cs="黑体"/>
                <w:iCs/>
                <w:szCs w:val="21"/>
              </w:rPr>
              <w:t>样本中甘油三酯浓度≤10mmol/L，血红蛋白浓度≤5.0mmol/L，胆红素浓度258mmol/L的干扰偏差≤15%。IL-1β、IL-2、IL-4、IL-5、IL-6、IL-8、IL-10、IL-12p70、IL-17、TNFα、IFN-β和IFN-α彼此之间无交叉反应性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Cs w:val="21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Cs w:val="21"/>
              </w:rPr>
            </w:pPr>
            <w:r>
              <w:rPr>
                <w:rFonts w:hint="eastAsia" w:ascii="黑体" w:hAnsi="黑体" w:eastAsia="黑体" w:cs="黑体"/>
                <w:iCs/>
                <w:szCs w:val="21"/>
              </w:rPr>
              <w:t>注册证或</w:t>
            </w:r>
            <w:r>
              <w:rPr>
                <w:rFonts w:hint="eastAsia" w:ascii="黑体" w:hAnsi="宋体" w:eastAsia="黑体" w:cs="黑体"/>
                <w:iCs/>
                <w:kern w:val="0"/>
                <w:szCs w:val="21"/>
                <w:lang w:bidi="ar"/>
              </w:rPr>
              <w:t>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ascii="黑体" w:hAnsi="黑体" w:eastAsia="黑体" w:cs="黑体"/>
                <w:kern w:val="0"/>
                <w:szCs w:val="21"/>
                <w:lang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质控品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★</w:t>
            </w:r>
          </w:p>
        </w:tc>
        <w:tc>
          <w:tcPr>
            <w:tcW w:w="4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szCs w:val="21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Cs w:val="21"/>
                <w:lang w:bidi="ar"/>
              </w:rPr>
              <w:t>免费提供开展该项目</w:t>
            </w:r>
            <w:r>
              <w:rPr>
                <w:rFonts w:ascii="黑体" w:hAnsi="黑体" w:eastAsia="黑体" w:cs="黑体"/>
                <w:iCs/>
                <w:kern w:val="0"/>
                <w:szCs w:val="21"/>
                <w:lang w:bidi="ar"/>
              </w:rPr>
              <w:t>所需质控品</w:t>
            </w:r>
            <w:r>
              <w:rPr>
                <w:rFonts w:hint="eastAsia" w:ascii="黑体" w:hAnsi="黑体" w:eastAsia="黑体" w:cs="黑体"/>
                <w:iCs/>
                <w:kern w:val="0"/>
                <w:szCs w:val="21"/>
                <w:lang w:bidi="ar"/>
              </w:rPr>
              <w:t>和</w:t>
            </w:r>
            <w:r>
              <w:rPr>
                <w:rFonts w:ascii="黑体" w:hAnsi="黑体" w:eastAsia="黑体" w:cs="黑体"/>
                <w:iCs/>
                <w:kern w:val="0"/>
                <w:szCs w:val="21"/>
                <w:lang w:bidi="ar"/>
              </w:rPr>
              <w:t>校准品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Cs w:val="21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Cs w:val="21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Cs w:val="21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Cs w:val="21"/>
                <w:lang w:bidi="ar"/>
              </w:rPr>
              <w:t>企业</w:t>
            </w:r>
            <w:r>
              <w:rPr>
                <w:rFonts w:ascii="黑体" w:hAnsi="宋体" w:eastAsia="黑体" w:cs="黑体"/>
                <w:iCs/>
                <w:kern w:val="0"/>
                <w:szCs w:val="21"/>
                <w:lang w:bidi="ar"/>
              </w:rPr>
              <w:t>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Cs w:val="21"/>
                <w:lang w:bidi="ar"/>
              </w:rPr>
              <w:t>★</w:t>
            </w:r>
          </w:p>
        </w:tc>
        <w:tc>
          <w:tcPr>
            <w:tcW w:w="4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i/>
                <w:iCs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 w:bidi="ar"/>
              </w:rPr>
              <w:t>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同签订后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,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交付时间地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 w:bidi="ar"/>
              </w:rPr>
              <w:t>点由甲方指定。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szCs w:val="21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Cs w:val="21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szCs w:val="21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Cs w:val="21"/>
                <w:lang w:bidi="ar"/>
              </w:rPr>
              <w:t>★</w:t>
            </w:r>
          </w:p>
        </w:tc>
        <w:tc>
          <w:tcPr>
            <w:tcW w:w="4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黑体" w:hAnsi="黑体" w:eastAsia="黑体" w:cs="黑体"/>
                <w:i/>
                <w:iCs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 w:bidi="ar"/>
              </w:rPr>
              <w:t>验收完成后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,半年内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 w:bidi="ar"/>
              </w:rPr>
              <w:t>付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100%。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szCs w:val="21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Cs w:val="21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szCs w:val="21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ascii="黑体" w:hAnsi="黑体" w:eastAsia="黑体" w:cs="黑体"/>
                <w:szCs w:val="21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Cs w:val="21"/>
                <w:lang w:bidi="ar"/>
              </w:rPr>
              <w:t>★</w:t>
            </w:r>
          </w:p>
        </w:tc>
        <w:tc>
          <w:tcPr>
            <w:tcW w:w="4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/>
                <w:iCs/>
                <w:szCs w:val="21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Cs w:val="21"/>
                <w:lang w:bidi="ar"/>
              </w:rPr>
              <w:t>按照国家、行业相关标准规范，产品确保包装完好，运输确保不对产品造成损伤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szCs w:val="21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Cs w:val="21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szCs w:val="21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ascii="黑体" w:hAnsi="黑体" w:eastAsia="黑体" w:cs="黑体"/>
                <w:szCs w:val="21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售后服务</w:t>
            </w:r>
            <w:r>
              <w:rPr>
                <w:rFonts w:ascii="黑体" w:hAnsi="黑体" w:eastAsia="黑体" w:cs="黑体"/>
                <w:kern w:val="0"/>
                <w:szCs w:val="21"/>
                <w:lang w:bidi="ar"/>
              </w:rPr>
              <w:t>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Cs w:val="21"/>
                <w:lang w:bidi="ar"/>
              </w:rPr>
              <w:t>★</w:t>
            </w:r>
          </w:p>
        </w:tc>
        <w:tc>
          <w:tcPr>
            <w:tcW w:w="4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/>
                <w:iCs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Cs w:val="21"/>
                <w:lang w:bidi="ar"/>
              </w:rPr>
              <w:t>负责提供首次</w:t>
            </w:r>
            <w:r>
              <w:rPr>
                <w:rFonts w:ascii="黑体" w:hAnsi="宋体" w:eastAsia="黑体" w:cs="黑体"/>
                <w:iCs/>
                <w:kern w:val="0"/>
                <w:szCs w:val="21"/>
                <w:lang w:bidi="ar"/>
              </w:rPr>
              <w:t>开展该项目</w:t>
            </w:r>
            <w:r>
              <w:rPr>
                <w:rFonts w:hint="eastAsia" w:ascii="黑体" w:hAnsi="宋体" w:eastAsia="黑体" w:cs="黑体"/>
                <w:iCs/>
                <w:kern w:val="0"/>
                <w:szCs w:val="21"/>
                <w:lang w:bidi="ar"/>
              </w:rPr>
              <w:t>性能</w:t>
            </w:r>
            <w:r>
              <w:rPr>
                <w:rFonts w:ascii="黑体" w:hAnsi="宋体" w:eastAsia="黑体" w:cs="黑体"/>
                <w:iCs/>
                <w:kern w:val="0"/>
                <w:szCs w:val="21"/>
                <w:lang w:bidi="ar"/>
              </w:rPr>
              <w:t>验证所需检测试剂及相应质控品</w:t>
            </w:r>
            <w:r>
              <w:rPr>
                <w:rFonts w:hint="eastAsia" w:ascii="黑体" w:hAnsi="宋体" w:eastAsia="黑体" w:cs="黑体"/>
                <w:iCs/>
                <w:kern w:val="0"/>
                <w:szCs w:val="21"/>
                <w:lang w:bidi="ar"/>
              </w:rPr>
              <w:t>，免费维护，免费提供使用培训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Cs w:val="21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/>
                <w:iCs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ascii="黑体" w:hAnsi="黑体" w:eastAsia="黑体" w:cs="黑体"/>
                <w:szCs w:val="21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售后服务</w:t>
            </w:r>
            <w:r>
              <w:rPr>
                <w:rFonts w:ascii="黑体" w:hAnsi="黑体" w:eastAsia="黑体" w:cs="黑体"/>
                <w:kern w:val="0"/>
                <w:szCs w:val="21"/>
                <w:lang w:bidi="ar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Cs w:val="21"/>
                <w:lang w:bidi="ar"/>
              </w:rPr>
              <w:t>★</w:t>
            </w:r>
          </w:p>
        </w:tc>
        <w:tc>
          <w:tcPr>
            <w:tcW w:w="4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Cs w:val="21"/>
                <w:lang w:bidi="ar"/>
              </w:rPr>
              <w:t>售后响应时间≤</w:t>
            </w:r>
            <w:r>
              <w:rPr>
                <w:rFonts w:ascii="黑体" w:hAnsi="宋体" w:eastAsia="黑体" w:cs="黑体"/>
                <w:iCs/>
                <w:kern w:val="0"/>
                <w:szCs w:val="21"/>
                <w:lang w:bidi="ar"/>
              </w:rPr>
              <w:t>4</w:t>
            </w:r>
            <w:r>
              <w:rPr>
                <w:rFonts w:hint="eastAsia" w:ascii="黑体" w:hAnsi="宋体" w:eastAsia="黑体" w:cs="黑体"/>
                <w:iCs/>
                <w:kern w:val="0"/>
                <w:szCs w:val="21"/>
                <w:lang w:bidi="ar"/>
              </w:rPr>
              <w:t>小时，到达现场时间≤</w:t>
            </w:r>
            <w:r>
              <w:rPr>
                <w:rFonts w:ascii="黑体" w:hAnsi="宋体" w:eastAsia="黑体" w:cs="黑体"/>
                <w:iCs/>
                <w:kern w:val="0"/>
                <w:szCs w:val="21"/>
                <w:lang w:bidi="ar"/>
              </w:rPr>
              <w:t>24</w:t>
            </w:r>
            <w:r>
              <w:rPr>
                <w:rFonts w:hint="eastAsia" w:ascii="黑体" w:hAnsi="宋体" w:eastAsia="黑体" w:cs="黑体"/>
                <w:iCs/>
                <w:kern w:val="0"/>
                <w:szCs w:val="21"/>
                <w:lang w:bidi="ar"/>
              </w:rPr>
              <w:t>小时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Cs w:val="21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▲标识的指标负偏离≥</w:t>
            </w:r>
            <w:r>
              <w:rPr>
                <w:rFonts w:ascii="黑体" w:hAnsi="黑体" w:eastAsia="黑体" w:cs="黑体"/>
                <w:kern w:val="0"/>
                <w:szCs w:val="21"/>
                <w:lang w:bidi="ar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▲标识的指标和“无标识”指标负偏离≥</w:t>
            </w:r>
            <w:r>
              <w:rPr>
                <w:rFonts w:hint="eastAsia" w:ascii="黑体" w:hAnsi="黑体" w:eastAsia="黑体" w:cs="黑体"/>
                <w:kern w:val="0"/>
                <w:szCs w:val="21"/>
                <w:lang w:val="en-US" w:eastAsia="zh-CN" w:bidi="ar"/>
              </w:rPr>
              <w:t>4</w:t>
            </w:r>
            <w:r>
              <w:rPr>
                <w:rFonts w:hint="eastAsia" w:ascii="黑体" w:hAnsi="黑体" w:eastAsia="黑体" w:cs="黑体"/>
                <w:kern w:val="0"/>
                <w:szCs w:val="21"/>
                <w:lang w:bidi="ar"/>
              </w:rPr>
              <w:t>项，投标企业技术分值为0分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宋体-方正超大字符集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6AE"/>
    <w:rsid w:val="00495451"/>
    <w:rsid w:val="004E5DD3"/>
    <w:rsid w:val="00D50CDA"/>
    <w:rsid w:val="00EC4453"/>
    <w:rsid w:val="00F736AE"/>
    <w:rsid w:val="00FC5BDD"/>
    <w:rsid w:val="0DA4399C"/>
    <w:rsid w:val="16D72F09"/>
    <w:rsid w:val="22C45C5D"/>
    <w:rsid w:val="3FC63E6D"/>
    <w:rsid w:val="4D810DE0"/>
    <w:rsid w:val="52C347EC"/>
    <w:rsid w:val="53FB2E49"/>
    <w:rsid w:val="57E619F8"/>
    <w:rsid w:val="67D52E95"/>
    <w:rsid w:val="6D6D12E5"/>
    <w:rsid w:val="7FA8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9">
    <w:name w:val="页眉 字符"/>
    <w:basedOn w:val="7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1127</Words>
  <Characters>1340</Characters>
  <Lines>12</Lines>
  <Paragraphs>3</Paragraphs>
  <TotalTime>3</TotalTime>
  <ScaleCrop>false</ScaleCrop>
  <LinksUpToDate>false</LinksUpToDate>
  <CharactersWithSpaces>1371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2024-03-08T20:41:00Z</dcterms:created>
  <dc:creator>DOCTOR</dc:creator>
  <cp:lastModifiedBy>DOCTOR</cp:lastModifiedBy>
  <dcterms:modified xsi:type="dcterms:W3CDTF">2025-12-05T05:05:35Z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83D20892ED744E3DA2D02D14EE33D94A_13</vt:lpwstr>
  </property>
  <property fmtid="{D5CDD505-2E9C-101B-9397-08002B2CF9AE}" pid="4" name="KSOTemplateDocerSaveRecord">
    <vt:lpwstr>eyJoZGlkIjoiYTQ1ODg4YjFhYjkwMWViZTc2MjBkOWZiZjY1Yjg1Y2IiLCJ1c2VySWQiOiIzMzIwNjc3NTUifQ==</vt:lpwstr>
  </property>
</Properties>
</file>