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采购计划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无（</w:t>
            </w:r>
            <w:r>
              <w:rPr>
                <w:rFonts w:hint="eastAsia" w:ascii="黑体" w:hAnsi="宋体" w:eastAsia="黑体" w:cs="黑体"/>
                <w:sz w:val="20"/>
              </w:rPr>
              <w:t>2025-四季度</w:t>
            </w:r>
            <w:r>
              <w:rPr>
                <w:rFonts w:ascii="黑体" w:hAnsi="宋体" w:eastAsia="黑体" w:cs="黑体"/>
                <w:sz w:val="20"/>
              </w:rPr>
              <w:t>）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自动化核酸提取仪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sz w:val="20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磁珠法，自动化完成RNA/DNA的提取纯化操作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标准规范1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具备第一类医疗器械备案凭证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备案凭证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标准规范2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生产厂家通过ISO9001和ISO13485质量管理体系认证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样本类型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粪便、植物、生物体液、组织、无细胞样品（如全血、血清、血浆、口腔拭子和细胞培养液）等多种类型样本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样本管型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2.2mL 96孔深孔板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处理样本体积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10-1000μL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样本通量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1-96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磁珠回收效率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ascii="黑体" w:hAnsi="黑体" w:eastAsia="黑体"/>
                <w:color w:val="000000" w:themeColor="text1"/>
                <w:sz w:val="20"/>
              </w:rPr>
              <w:t>≥99%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样本转移方式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采用整板位提取模块设计，96个样本可同时处理，实验稳定性和均一性强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提取时长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单批次（96个样本）提取时间8-15min，最短提取时间8min/批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洗脱温度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4℃-120℃，具有制冷功能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污染控制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配备防滴落板，内置紫外灭菌模块，具备HEPA高效过滤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模块工位和磁棒数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直线排列6个模块工位，96根磁棒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接口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具备USB和LAN接口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</w:t>
            </w:r>
            <w:r>
              <w:rPr>
                <w:rFonts w:ascii="黑体" w:hAnsi="黑体" w:eastAsia="黑体"/>
                <w:color w:val="000000" w:themeColor="text1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主机1台（电源2</w:t>
            </w:r>
            <w:r>
              <w:rPr>
                <w:rFonts w:ascii="黑体" w:hAnsi="黑体" w:eastAsia="黑体"/>
                <w:color w:val="000000" w:themeColor="text1"/>
                <w:sz w:val="20"/>
              </w:rPr>
              <w:t>20V</w:t>
            </w: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企业承诺或交货清单或配置清单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物资到货（服务完成）验收后付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val="en-US" w:eastAsia="zh-CN"/>
              </w:rPr>
              <w:t>100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eastAsia="zh-CN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提供不少于2人次、0</w:t>
            </w: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.5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维修响应时间≤4小时，维修到达现场时间≤</w:t>
            </w: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24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1</w:t>
            </w:r>
            <w:r>
              <w:rPr>
                <w:rFonts w:ascii="黑体" w:hAnsi="黑体" w:eastAsia="黑体" w:cs="黑体"/>
                <w:color w:val="000000" w:themeColor="text1"/>
                <w:sz w:val="20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1</w:t>
            </w:r>
            <w:r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□公开招标    □邀请招标    √竞争性谈判    □单一来源     □询价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√综合评分法      □质量优先法      □经评审的最低价法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▲标识的指标和“无标识”指标负偏离≥</w:t>
            </w:r>
            <w:r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  <w:t>4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※中选企业数量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1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分配比例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※供应商资格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 w:themeColor="text1"/>
                <w:kern w:val="0"/>
                <w:sz w:val="20"/>
              </w:rPr>
              <w:t>投标供应商具备《第二类医疗器械经营备案凭证》或《医疗器械经营许可证》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※样品评审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 w:themeColor="text1"/>
                <w:kern w:val="0"/>
                <w:sz w:val="20"/>
              </w:rPr>
              <w:t>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498F"/>
    <w:rsid w:val="000A6CA7"/>
    <w:rsid w:val="000E2B4D"/>
    <w:rsid w:val="00265CEE"/>
    <w:rsid w:val="00321208"/>
    <w:rsid w:val="003465D3"/>
    <w:rsid w:val="003600FA"/>
    <w:rsid w:val="004F1188"/>
    <w:rsid w:val="00526730"/>
    <w:rsid w:val="005838B5"/>
    <w:rsid w:val="00585920"/>
    <w:rsid w:val="006008F8"/>
    <w:rsid w:val="006229BC"/>
    <w:rsid w:val="006B5E97"/>
    <w:rsid w:val="006B7394"/>
    <w:rsid w:val="0073732A"/>
    <w:rsid w:val="007664D1"/>
    <w:rsid w:val="0077539E"/>
    <w:rsid w:val="00853F3C"/>
    <w:rsid w:val="00C215F2"/>
    <w:rsid w:val="00D54B4C"/>
    <w:rsid w:val="00E3267B"/>
    <w:rsid w:val="00EC498F"/>
    <w:rsid w:val="00FA25B9"/>
    <w:rsid w:val="041A6D9F"/>
    <w:rsid w:val="42B377B2"/>
    <w:rsid w:val="5FA905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311</Words>
  <Characters>1774</Characters>
  <Lines>14</Lines>
  <Paragraphs>4</Paragraphs>
  <TotalTime>0</TotalTime>
  <ScaleCrop>false</ScaleCrop>
  <LinksUpToDate>false</LinksUpToDate>
  <CharactersWithSpaces>2081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2025-10-30T04:39:00Z</dcterms:created>
  <dc:creator>admin</dc:creator>
  <cp:lastModifiedBy>DOCTOR</cp:lastModifiedBy>
  <dcterms:modified xsi:type="dcterms:W3CDTF">2025-12-11T07:48:59Z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