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0" w:name="_Toc130664008"/>
      <w:bookmarkStart w:id="1" w:name="_Toc128156340"/>
      <w:bookmarkStart w:id="2" w:name="_Toc152058663"/>
      <w:bookmarkStart w:id="3" w:name="_Toc132191961"/>
      <w:bookmarkStart w:id="4" w:name="_Toc128403798"/>
      <w:bookmarkStart w:id="5" w:name="_Toc128753410"/>
      <w:bookmarkStart w:id="6" w:name="_Toc150423542"/>
      <w:bookmarkStart w:id="7" w:name="_Toc132188922"/>
      <w:bookmarkStart w:id="8" w:name="_Toc130888893"/>
      <w:r>
        <w:rPr>
          <w:rFonts w:hint="eastAsia" w:ascii="黑体" w:hAnsi="黑体" w:cs="黑体"/>
          <w:b w:val="0"/>
          <w:sz w:val="28"/>
          <w:szCs w:val="28"/>
        </w:rPr>
        <w:t>一、商务要求</w:t>
      </w:r>
    </w:p>
    <w:tbl>
      <w:tblPr>
        <w:tblStyle w:val="6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3"/>
        <w:gridCol w:w="1607"/>
        <w:gridCol w:w="803"/>
        <w:gridCol w:w="4759"/>
        <w:gridCol w:w="140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★</w:t>
            </w:r>
          </w:p>
        </w:tc>
        <w:tc>
          <w:tcPr>
            <w:tcW w:w="2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</w:rPr>
      </w:pP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Style w:val="6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4"/>
        <w:gridCol w:w="734"/>
        <w:gridCol w:w="762"/>
        <w:gridCol w:w="768"/>
        <w:gridCol w:w="1083"/>
        <w:gridCol w:w="2179"/>
        <w:gridCol w:w="1090"/>
        <w:gridCol w:w="726"/>
        <w:gridCol w:w="131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2025-JQ06-W5038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医用雾化器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0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22.5（9台）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31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1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医院雾化治疗，可应用呼吸麻醉系统和呼吸机系统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1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操作原理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1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超声波筛孔式振动雾化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雾化中位粒径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1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≤3.5</w:t>
            </w:r>
            <w:r>
              <w:rPr>
                <w:rFonts w:ascii="Calibri" w:hAnsi="Calibri" w:eastAsia="黑体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μ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雾化粒径数量分布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1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</w:t>
            </w:r>
            <w:r>
              <w:rPr>
                <w:rFonts w:ascii="Calibri" w:hAnsi="Calibri" w:eastAsia="黑体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μ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m的雾化粒≥90%；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</w:t>
            </w:r>
            <w:r>
              <w:rPr>
                <w:rFonts w:ascii="Calibri" w:hAnsi="Calibri" w:eastAsia="黑体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μ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m的雾化粒≥95%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雾化速率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≥0.2mL/min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雾化杯容量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≥6ml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最长定时时间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常规雾化时限：≥30分钟，长期雾化时限：≥6小时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1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雾化器主机1台，控制器1个，电源适配器1个，雾化药杯2个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配套耗材要求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1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包含：产品规格表、产品宣传彩页、技术白皮书、制造商官方网站发布的产品信息、说明书或检测机构出具的检测报告、生产厂家的承诺书等。若技术指标备注中有明确证明或支撑材料要求的，应以明确要求的证明或支撑材料作为响应依据。</w:t>
            </w:r>
          </w:p>
          <w:p>
            <w:pPr>
              <w:pStyle w:val="2"/>
              <w:rPr>
                <w:rFonts w:hint="eastAsi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注：1.单一来源采购项目所有指标均不接受负偏离，经谈判后任意一项不满足采购文件要求，即按废标处理。</w:t>
            </w:r>
          </w:p>
        </w:tc>
      </w:tr>
    </w:tbl>
    <w:p>
      <w:pPr>
        <w:numPr>
          <w:ilvl w:val="0"/>
          <w:numId w:val="0"/>
        </w:numPr>
      </w:pPr>
    </w:p>
    <w:tbl>
      <w:tblPr>
        <w:tblStyle w:val="6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"/>
        <w:gridCol w:w="1603"/>
        <w:gridCol w:w="2406"/>
        <w:gridCol w:w="1182"/>
        <w:gridCol w:w="1045"/>
        <w:gridCol w:w="1182"/>
        <w:gridCol w:w="95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医用雾化器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69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2025-JQ06-W5038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445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1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※规格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医用雾化器-药杯（雾化吸入）</w:t>
            </w:r>
          </w:p>
        </w:tc>
        <w:tc>
          <w:tcPr>
            <w:tcW w:w="1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EJND-087-YB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200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23.6 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雾化面罩</w:t>
            </w:r>
          </w:p>
        </w:tc>
        <w:tc>
          <w:tcPr>
            <w:tcW w:w="1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ZJ-FNM011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200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1.9 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630" w:hanging="630" w:hangingChars="3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注：1.预估2年用量为开展业务所需耗材（开展项目）的测算量，与设备购置数量无关；</w:t>
            </w:r>
          </w:p>
          <w:p>
            <w:pPr>
              <w:keepNext w:val="0"/>
              <w:keepLines w:val="0"/>
              <w:widowControl/>
              <w:suppressLineNumbers w:val="0"/>
              <w:ind w:left="630" w:leftChars="200" w:hanging="210" w:hanging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2.计量单位为最小使用单位。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/>
          <w:bCs/>
          <w:snapToGrid w:val="0"/>
          <w:sz w:val="28"/>
          <w:szCs w:val="28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18" w:right="1134" w:bottom="1418" w:left="141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312" w:charSpace="0"/>
        </w:sectPr>
      </w:pPr>
      <w:bookmarkStart w:id="9" w:name="_GoBack"/>
      <w:bookmarkEnd w:id="9"/>
    </w:p>
    <w:p/>
    <w:sectPr>
      <w:head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32280848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59</w:t>
        </w:r>
        <w: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楷体_GB2312" w:hAnsi="楷体" w:eastAsia="楷体_GB2312" w:cs="楷体"/>
        <w:sz w:val="21"/>
        <w:szCs w:val="21"/>
      </w:rPr>
    </w:pPr>
    <w:r>
      <w:rPr>
        <w:sz w:val="21"/>
      </w:rPr>
      <w:drawing>
        <wp:anchor distT="0" distB="0" distL="114300" distR="114300" simplePos="0" relativeHeight="25171968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38470" cy="8891270"/>
          <wp:effectExtent l="0" t="0" r="5080" b="5080"/>
          <wp:wrapNone/>
          <wp:docPr id="10" name="WordPictureWatermark119072" descr="水印图片-加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WordPictureWatermark119072" descr="水印图片-加深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38470" cy="8891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楷体_GB2312" w:hAnsi="楷体" w:eastAsia="楷体_GB2312" w:cs="楷体"/>
        <w:sz w:val="21"/>
        <w:szCs w:val="21"/>
      </w:rPr>
      <w:t>第六章 采购项目商务和技术要求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楷体_GB2312" w:hAnsi="楷体" w:eastAsia="楷体_GB2312" w:cs="楷体"/>
        <w:sz w:val="21"/>
        <w:szCs w:val="21"/>
      </w:rPr>
    </w:pPr>
    <w:r>
      <w:rPr>
        <w:sz w:val="21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38470" cy="8891270"/>
          <wp:effectExtent l="0" t="0" r="5080" b="5080"/>
          <wp:wrapNone/>
          <wp:docPr id="14" name="WordPictureWatermark248091" descr="水印图片-加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WordPictureWatermark248091" descr="水印图片-加深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38470" cy="8891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 xml:space="preserve">章 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采购项目商务和技术要求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4E65B"/>
    <w:multiLevelType w:val="singleLevel"/>
    <w:tmpl w:val="5314E65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EF052B"/>
    <w:rsid w:val="41E502B4"/>
    <w:rsid w:val="66E9786E"/>
    <w:rsid w:val="6D24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font3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9">
    <w:name w:val="font41"/>
    <w:basedOn w:val="7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0">
    <w:name w:val="font5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21"/>
    <w:basedOn w:val="7"/>
    <w:qFormat/>
    <w:uiPriority w:val="0"/>
    <w:rPr>
      <w:rFonts w:ascii="Calibri" w:hAnsi="Calibri" w:cs="Calibri"/>
      <w:color w:val="000000"/>
      <w:sz w:val="22"/>
      <w:szCs w:val="22"/>
      <w:u w:val="none"/>
    </w:rPr>
  </w:style>
  <w:style w:type="character" w:customStyle="1" w:styleId="12">
    <w:name w:val="font61"/>
    <w:basedOn w:val="7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4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2025-09-16T09:55:00Z</dcterms:created>
  <dc:creator>admin</dc:creator>
  <cp:lastModifiedBy>admin</cp:lastModifiedBy>
  <dcterms:modified xsi:type="dcterms:W3CDTF">2025-12-16T00:08:05Z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