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77"/>
        <w:gridCol w:w="930"/>
        <w:gridCol w:w="825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编号</w:t>
            </w:r>
          </w:p>
        </w:tc>
        <w:tc>
          <w:tcPr>
            <w:tcW w:w="18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2025-JQ06-H1005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eastAsia="zh-CN"/>
              </w:rPr>
              <w:t>细胞保存液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可适用于放射病染色体畸变、微核以及血液病染色体核型分析、染色体荧光原位杂交分析等实验的前期培养，并可提供稳定的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渗透压、PH值及营养成分，促进细胞分裂并同步化于中期，便于染色体显带分析；同时可支持细胞周期调控，提高分裂象比例，增强染色体分散效果。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  <w:t>资质认证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具备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注册证或备案证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  <w:t>适用性要求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适用于骨髓和外周血的细胞培养，可以保证细胞转化率≥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70%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  <w:t>包装规格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5ml培养体系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  <w:t>包装要求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包装材料化学稳定性高，耐受灭菌温度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  <w:t>试剂含量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培养基应含有高质量的胎牛血清，含量≥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both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PH值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具有缓冲体系，维持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PH值稳定性（PH值：7.2-7.4）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both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渗透压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与细胞内环境匹配（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280-310mOsm/L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both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  <w:t>有效期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产品有效期：≥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交货时间地点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合同签订后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根据甲方要求交付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付款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条件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按订单支付，验收合格后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3个月支付货款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包装运输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包装严格符合国家标准和要求，按照医药标准全程冷链物流运输，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临时应急中提供应急支援保障服务。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产品发生质量问题和破损问题，免费包换。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根据甲方要求，免费提供使用培训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5580B"/>
    <w:rsid w:val="10D5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2025-11-27T07:15:00Z</dcterms:created>
  <dc:creator>周周</dc:creator>
  <cp:lastModifiedBy>周周</cp:lastModifiedBy>
  <dcterms:modified xsi:type="dcterms:W3CDTF">2025-11-27T07:17:35Z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