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adjustRightInd w:val="0"/>
        <w:snapToGrid w:val="0"/>
        <w:spacing w:line="560" w:lineRule="exact"/>
        <w:jc w:val="center"/>
        <w:rPr>
          <w:b w:val="0"/>
          <w:szCs w:val="44"/>
          <w:lang w:val="zh-CN"/>
        </w:rPr>
      </w:pPr>
      <w:bookmarkStart w:id="0" w:name="_Toc21632"/>
      <w:bookmarkStart w:id="1" w:name="_Toc128470293"/>
      <w:bookmarkStart w:id="2" w:name="_Toc112317781"/>
      <w:bookmarkStart w:id="3" w:name="_Toc130661176"/>
      <w:bookmarkStart w:id="4" w:name="_Toc150421246"/>
      <w:bookmarkStart w:id="5" w:name="_Toc32050"/>
      <w:bookmarkStart w:id="6" w:name="_Toc152058289"/>
      <w:bookmarkStart w:id="7" w:name="_Toc132191257"/>
      <w:bookmarkStart w:id="8" w:name="_Toc9692"/>
      <w:bookmarkStart w:id="9" w:name="_Toc128154366"/>
      <w:bookmarkStart w:id="10" w:name="_Toc30564"/>
      <w:bookmarkStart w:id="11" w:name="_Toc28545"/>
      <w:bookmarkStart w:id="12" w:name="_Toc112768491"/>
      <w:bookmarkStart w:id="13" w:name="_Toc130888005"/>
      <w:bookmarkStart w:id="14" w:name="_Toc132186973"/>
      <w:r>
        <w:rPr>
          <w:rFonts w:hint="eastAsia"/>
          <w:b w:val="0"/>
          <w:szCs w:val="44"/>
          <w:lang w:val="zh-CN"/>
        </w:rPr>
        <w:t>第六章</w:t>
      </w:r>
      <w:r>
        <w:rPr>
          <w:b w:val="0"/>
          <w:szCs w:val="44"/>
          <w:lang w:val="zh-CN"/>
        </w:rPr>
        <w:t xml:space="preserve"> </w:t>
      </w:r>
      <w:r>
        <w:rPr>
          <w:rFonts w:hint="eastAsia"/>
          <w:b w:val="0"/>
          <w:szCs w:val="44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>
      <w:pPr>
        <w:pStyle w:val="4"/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</w:rPr>
      </w:pPr>
      <w:bookmarkStart w:id="15" w:name="_Toc22203"/>
      <w:bookmarkStart w:id="16" w:name="_Toc22977"/>
      <w:bookmarkStart w:id="17" w:name="_Toc14060"/>
      <w:bookmarkStart w:id="18" w:name="_Toc152058290"/>
      <w:bookmarkStart w:id="19" w:name="_Toc128470294"/>
      <w:bookmarkStart w:id="20" w:name="_Toc112681847"/>
      <w:bookmarkStart w:id="21" w:name="_Toc132186974"/>
      <w:bookmarkStart w:id="22" w:name="_Toc32238"/>
      <w:bookmarkStart w:id="23" w:name="_Toc128154367"/>
      <w:bookmarkStart w:id="24" w:name="_Toc130888006"/>
      <w:bookmarkStart w:id="25" w:name="_Toc112768493"/>
      <w:bookmarkStart w:id="26" w:name="_Toc150421247"/>
      <w:bookmarkStart w:id="27" w:name="_Toc132191258"/>
      <w:bookmarkStart w:id="28" w:name="_Toc13168"/>
      <w:bookmarkStart w:id="29" w:name="_Toc285612596"/>
      <w:r>
        <w:rPr>
          <w:rFonts w:hint="eastAsia" w:ascii="黑体" w:hAnsi="黑体" w:cs="黑体"/>
          <w:b w:val="0"/>
          <w:sz w:val="28"/>
          <w:szCs w:val="28"/>
        </w:rPr>
        <w:t>一、商务要求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tbl>
      <w:tblPr>
        <w:tblStyle w:val="6"/>
        <w:tblW w:w="940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2"/>
        <w:gridCol w:w="1870"/>
        <w:gridCol w:w="936"/>
        <w:gridCol w:w="3741"/>
        <w:gridCol w:w="912"/>
        <w:gridCol w:w="1179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</w:trPr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87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93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374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17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5" w:hRule="atLeast"/>
        </w:trPr>
        <w:tc>
          <w:tcPr>
            <w:tcW w:w="76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87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9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74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1.交货时间：合同签订之日起90天内全部交货并安装调试完毕。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2.交付地点：北京市海淀区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3.交付方式：现场交付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1" w:hRule="atLeast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物资到货（服务完成）验收后付95%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1" w:hRule="atLeast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验收合格后满一年无质量问题，无息支付剩余5%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1" w:hRule="atLeast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9" w:hRule="atLeast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交货验收完毕之日算起，保修年限不低于三年，全年故障停机时间不高于5%（按365日/年计算)。投标供应商对提供的物资在质保期内，因产品质量而导致的缺陷，应当免费提供包修、包换、包退服务，因此导致的损失采购单位有权向中标供应商追偿。超出质保期后，投标供应商应当提供上门维修服务，仅收取成本费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（企业承诺）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维修响应时间≤4小时，京内维修到达现场时间≤12小时，京外维修到达现场时间≤48小时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8" w:hRule="atLeast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知识产权和保密要求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报价供应商应当保证采购单位在使用该物资或其任何一部分时，不受第三方侵权指控。同时，报价供应商不得向第三方泄露采购机构提供的技术文件等材料。 基于项目合同履行形成的知识产权和其他权益，其权属归采购单位所有，法律另有规定的除外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6" w:hRule="atLeast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bookmarkEnd w:id="29"/>
    </w:tbl>
    <w:p>
      <w:pPr>
        <w:pStyle w:val="4"/>
        <w:numPr>
          <w:ilvl w:val="0"/>
          <w:numId w:val="1"/>
        </w:numPr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</w:rPr>
      </w:pPr>
      <w:bookmarkStart w:id="30" w:name="_Toc128397970"/>
      <w:bookmarkStart w:id="31" w:name="_Toc150418428"/>
      <w:bookmarkStart w:id="32" w:name="_Toc152057837"/>
      <w:bookmarkStart w:id="33" w:name="_Toc128151027"/>
      <w:bookmarkStart w:id="34" w:name="_Toc128150134"/>
      <w:bookmarkStart w:id="35" w:name="_Toc127820564"/>
      <w:bookmarkStart w:id="36" w:name="_Toc130887500"/>
      <w:bookmarkStart w:id="37" w:name="_Toc132190634"/>
      <w:bookmarkStart w:id="38" w:name="_Toc128150778"/>
      <w:r>
        <w:rPr>
          <w:rFonts w:hint="eastAsia" w:ascii="黑体" w:hAnsi="黑体" w:cs="黑体"/>
          <w:b w:val="0"/>
          <w:sz w:val="28"/>
          <w:szCs w:val="28"/>
        </w:rPr>
        <w:t>技术要求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</w:p>
    <w:tbl>
      <w:tblPr>
        <w:tblStyle w:val="6"/>
        <w:tblW w:w="888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0"/>
        <w:gridCol w:w="1767"/>
        <w:gridCol w:w="883"/>
        <w:gridCol w:w="3535"/>
        <w:gridCol w:w="861"/>
        <w:gridCol w:w="1114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6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3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</w:trPr>
        <w:tc>
          <w:tcPr>
            <w:tcW w:w="88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7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用于临床泌尿外科成像和诊断，具有图像显示切换功能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7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具备NMPA认证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7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显示器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3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尺寸≥24英寸；分辨率≥1080p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7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图像处理器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输出分辩率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分辨率≥1080p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7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图像处理器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BCR图像去红功能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7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图像处理器功能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3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具备亮度调节、图像冻结、图像缩放、图像增强、图片、视频回放功能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7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图像处理器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拍照、摄像功能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具备，存储≥64G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7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图像处理器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白平衡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具备，自动或手动调节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7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光源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内置LED冷光源，显色指数≥80，色温（3000-7000）K，红外截止性能≤6mW/lm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7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拓展功能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可增配光学摄像头，兼容胸腹腔镜、膀胱镜、电切镜和输尿管肾镜等光学镜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7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硬性电子膀胱肾盂镜分辨率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像素≥16万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7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硬性电子膀胱肾盂镜视向角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3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12°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7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硬性电子膀胱肾盂镜视野角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3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≥110°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7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硬性电子膀胱肾盂镜景深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≥（8-50）mm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7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硬性电子膀胱肾盂镜工作长度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±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10mm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7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硬性电子膀胱肾盂镜工作通道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φ≥5Fr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7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硬性电子膀胱肾盂镜消毒方式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可低温等离子消毒、环氧乙烷消毒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7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一次性使用电子膀胱肾盂镜导管角度、镜深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视向角：0°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视场角：≥110°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景深：≥（2-50）mm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7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一次性使用电子膀胱肾盂镜导管插入管外径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插入管外径：≤7.5 Fr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7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一次性使用电子膀胱肾盂镜导管通道、长度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器械通道：≥3.6 Fr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工作长度：≥700 mm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7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一次性使用电子膀胱肾盂镜导管弯曲角度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上弯≥ 275°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下弯≥ 275°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7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一次性使用电子膀胱肾盂镜导管连接方式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一体化视频光纤插头连接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1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（单台套）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电子内窥镜图像处理器    1台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硬性电子膀胱肾盂镜      2条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消毒盒                  2个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显示器                  1台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配套台车                1台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6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配套耗材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（试剂）要求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封闭耗材（试剂）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厂家承诺及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</w:t>
            </w:r>
          </w:p>
        </w:tc>
      </w:tr>
    </w:tbl>
    <w:p>
      <w:pPr>
        <w:numPr>
          <w:ilvl w:val="0"/>
          <w:numId w:val="0"/>
        </w:numPr>
        <w:rPr>
          <w:rFonts w:hint="eastAsi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cs="宋体"/>
          <w:kern w:val="0"/>
          <w:sz w:val="22"/>
          <w:szCs w:val="22"/>
          <w:lang w:bidi="ar"/>
        </w:rPr>
      </w:pPr>
      <w:r>
        <w:rPr>
          <w:rFonts w:ascii="宋体" w:hAnsi="宋体" w:cs="宋体"/>
          <w:kern w:val="0"/>
          <w:sz w:val="22"/>
          <w:szCs w:val="22"/>
          <w:lang w:bidi="ar"/>
        </w:rPr>
        <w:t xml:space="preserve">说明 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kern w:val="0"/>
          <w:sz w:val="22"/>
          <w:szCs w:val="22"/>
          <w:lang w:eastAsia="zh-CN" w:bidi="ar"/>
        </w:rPr>
      </w:pPr>
      <w:r>
        <w:rPr>
          <w:rFonts w:hint="eastAsia" w:ascii="宋体" w:hAnsi="宋体" w:cs="宋体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kern w:val="0"/>
          <w:sz w:val="22"/>
          <w:szCs w:val="22"/>
          <w:lang w:bidi="ar"/>
        </w:rPr>
        <w:t>1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kern w:val="0"/>
          <w:sz w:val="22"/>
          <w:szCs w:val="22"/>
          <w:lang w:bidi="ar"/>
        </w:rPr>
        <w:t>★指标为必须响应指标，任意一项不满足要求即做废标处理</w:t>
      </w:r>
      <w:r>
        <w:rPr>
          <w:rFonts w:hint="eastAsia" w:ascii="宋体" w:hAnsi="宋体" w:cs="宋体"/>
          <w:kern w:val="0"/>
          <w:sz w:val="22"/>
          <w:szCs w:val="22"/>
          <w:lang w:eastAsia="zh-CN" w:bidi="ar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kern w:val="0"/>
          <w:sz w:val="22"/>
          <w:szCs w:val="22"/>
          <w:lang w:eastAsia="zh-CN" w:bidi="ar"/>
        </w:rPr>
      </w:pPr>
      <w:r>
        <w:rPr>
          <w:rFonts w:hint="eastAsia" w:ascii="宋体" w:hAnsi="宋体" w:cs="宋体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kern w:val="0"/>
          <w:sz w:val="22"/>
          <w:szCs w:val="22"/>
          <w:lang w:bidi="ar"/>
        </w:rPr>
        <w:t>2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kern w:val="0"/>
          <w:sz w:val="22"/>
          <w:szCs w:val="22"/>
          <w:lang w:bidi="ar"/>
        </w:rPr>
        <w:t>《采购需求表》备注已明确证明材料种类的，以所注内容或国家行政管理部门、专业检测机构出具的证明材料为准。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相关证明材料包含：产品规格表、产品宣传彩页、技术白皮书、制造商官方网站发布的产品信息、说明书或检测机构出具的检测报告、生产厂家的承诺书等。若技术指标备注中有明确证明或支撑材料要求的，应以明确要求的证明或支撑材料作为响应依据</w:t>
      </w:r>
      <w:r>
        <w:rPr>
          <w:rFonts w:hint="eastAsia" w:ascii="宋体" w:hAnsi="宋体" w:cs="宋体"/>
          <w:kern w:val="0"/>
          <w:sz w:val="22"/>
          <w:szCs w:val="22"/>
          <w:lang w:eastAsia="zh-CN" w:bidi="ar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cs="宋体"/>
          <w:kern w:val="0"/>
          <w:sz w:val="22"/>
          <w:szCs w:val="22"/>
          <w:lang w:eastAsia="zh-CN" w:bidi="ar"/>
        </w:rPr>
      </w:pPr>
      <w:r>
        <w:rPr>
          <w:rFonts w:hint="eastAsia" w:ascii="宋体" w:hAnsi="宋体" w:cs="宋体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kern w:val="0"/>
          <w:sz w:val="22"/>
          <w:szCs w:val="22"/>
          <w:lang w:bidi="ar"/>
        </w:rPr>
        <w:t>3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）▲标识的指标负偏离≥</w:t>
      </w:r>
      <w:r>
        <w:rPr>
          <w:rFonts w:hint="eastAsia" w:ascii="宋体" w:hAnsi="宋体" w:cs="宋体"/>
          <w:kern w:val="0"/>
          <w:sz w:val="22"/>
          <w:szCs w:val="22"/>
          <w:lang w:val="en-US" w:eastAsia="zh-CN" w:bidi="ar"/>
        </w:rPr>
        <w:t>2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项，投标企业技术</w:t>
      </w:r>
      <w:r>
        <w:rPr>
          <w:rFonts w:hint="eastAsia" w:ascii="宋体" w:hAnsi="宋体" w:cs="宋体"/>
          <w:kern w:val="0"/>
          <w:sz w:val="22"/>
          <w:szCs w:val="22"/>
          <w:lang w:eastAsia="zh-CN" w:bidi="ar"/>
        </w:rPr>
        <w:t>指标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分值为0分</w:t>
      </w:r>
      <w:r>
        <w:rPr>
          <w:rFonts w:hint="eastAsia" w:ascii="宋体" w:hAnsi="宋体" w:cs="宋体"/>
          <w:kern w:val="0"/>
          <w:sz w:val="22"/>
          <w:szCs w:val="22"/>
          <w:lang w:eastAsia="zh-CN" w:bidi="ar"/>
        </w:rPr>
        <w:t>。▲标识的指标和“无标识”指标负偏离≥</w:t>
      </w:r>
      <w:r>
        <w:rPr>
          <w:rFonts w:hint="eastAsia" w:ascii="宋体" w:hAnsi="宋体" w:cs="宋体"/>
          <w:kern w:val="0"/>
          <w:sz w:val="22"/>
          <w:szCs w:val="22"/>
          <w:lang w:val="en-US" w:eastAsia="zh-CN" w:bidi="ar"/>
        </w:rPr>
        <w:t>6</w:t>
      </w:r>
      <w:r>
        <w:rPr>
          <w:rFonts w:hint="eastAsia" w:ascii="宋体" w:hAnsi="宋体" w:cs="宋体"/>
          <w:kern w:val="0"/>
          <w:sz w:val="22"/>
          <w:szCs w:val="22"/>
          <w:lang w:eastAsia="zh-CN" w:bidi="ar"/>
        </w:rPr>
        <w:t>项，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投标企业技术</w:t>
      </w:r>
      <w:r>
        <w:rPr>
          <w:rFonts w:hint="eastAsia" w:ascii="宋体" w:hAnsi="宋体" w:cs="宋体"/>
          <w:kern w:val="0"/>
          <w:sz w:val="22"/>
          <w:szCs w:val="22"/>
          <w:lang w:eastAsia="zh-CN" w:bidi="ar"/>
        </w:rPr>
        <w:t>指标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分值为0分</w:t>
      </w:r>
      <w:r>
        <w:rPr>
          <w:rFonts w:hint="eastAsia" w:ascii="宋体" w:hAnsi="宋体" w:cs="宋体"/>
          <w:kern w:val="0"/>
          <w:sz w:val="22"/>
          <w:szCs w:val="22"/>
          <w:lang w:eastAsia="zh-CN" w:bidi="ar"/>
        </w:rPr>
        <w:t>。</w:t>
      </w:r>
    </w:p>
    <w:p>
      <w:pPr>
        <w:rPr>
          <w:rFonts w:ascii="宋体" w:hAnsi="宋体" w:cs="宋体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kern w:val="0"/>
          <w:sz w:val="22"/>
          <w:szCs w:val="22"/>
          <w:lang w:bidi="ar"/>
        </w:rPr>
        <w:t>4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kern w:val="0"/>
          <w:sz w:val="22"/>
          <w:szCs w:val="22"/>
          <w:lang w:bidi="ar"/>
        </w:rPr>
        <w:t>★标识指标及▲标识指标须提供技术支持材料；</w:t>
      </w:r>
    </w:p>
    <w:tbl>
      <w:tblPr>
        <w:tblStyle w:val="6"/>
        <w:tblW w:w="930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40"/>
        <w:gridCol w:w="1793"/>
        <w:gridCol w:w="1501"/>
        <w:gridCol w:w="1328"/>
        <w:gridCol w:w="1175"/>
        <w:gridCol w:w="1327"/>
        <w:gridCol w:w="1036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4" w:hRule="atLeast"/>
        </w:trPr>
        <w:tc>
          <w:tcPr>
            <w:tcW w:w="93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封闭耗材（试剂）用量测算表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</w:trPr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封闭耗材（试剂）描述</w:t>
            </w:r>
          </w:p>
        </w:tc>
        <w:tc>
          <w:tcPr>
            <w:tcW w:w="816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耗材（试剂）与设备为同一品牌；耗材（试剂）为设备生产企业指定的唯一代工品牌。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</w:trPr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耗材（开展项目）名称</w:t>
            </w:r>
          </w:p>
        </w:tc>
        <w:tc>
          <w:tcPr>
            <w:tcW w:w="1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※规格</w:t>
            </w: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预估2年用量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3" w:hRule="atLeast"/>
        </w:trPr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一次性使用电子膀胱肾盂镜导管</w:t>
            </w:r>
          </w:p>
        </w:tc>
        <w:tc>
          <w:tcPr>
            <w:tcW w:w="1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工作长度：≥700 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插入管外径：≤7.5 Fr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器械通道：≥3.6 Fr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弯曲角度：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上弯≥ 275°，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下弯≥ 275°</w:t>
            </w: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1200套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462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</w:trPr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9" w:hRule="atLeast"/>
        </w:trPr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pStyle w:val="8"/>
        <w:rPr>
          <w:rFonts w:hint="eastAsia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说明：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.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报价供应商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需对《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封闭耗材（试剂）用量测算表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》中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</w:rPr>
        <w:t>全部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耗材（开展项目）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  <w:lang w:eastAsia="zh-CN"/>
        </w:rPr>
        <w:t>逐一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</w:rPr>
        <w:t>报价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。需将各开展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项目所需全部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封闭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耗材（试剂）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或各封闭耗材（试剂）的不同型号全部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列明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并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报价，未列明的视为引进入院时免费提供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2.封闭耗材（试剂）需满足《封闭耗材（试剂）用量测算表》中“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  <w:lang w:val="en-US" w:eastAsia="zh-CN"/>
        </w:rPr>
        <w:t>封闭耗材（试剂）描述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”要求，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  <w:lang w:val="en-US" w:eastAsia="zh-CN"/>
        </w:rPr>
        <w:t>并提供相关证明材料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，不能提供或不符合要求的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视为无效报价；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非封闭耗材（试剂）（含证明材料不予认定的情况）所报价格不予计算，该项耗材（试剂）按缺项处理，如影响设备使用或导致项目无法开展的，视为无效报价；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.所投耗材按医疗器械管理的，须提供医疗器械注册证或备案凭证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，不按医疗器械管理的，需提供相关证明材料，不得使用已经停产产品，不符合以上要求的视为无效报价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.各项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耗材报价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总价不得超出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对应的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最高限价，超出则视为耗材报价无效，价格评审中耗材部分得0分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.所投耗材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（试剂）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为医院目录内产品的，也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  <w:lang w:val="en-US" w:eastAsia="zh-CN"/>
        </w:rPr>
        <w:t>须一同报价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；中标后需对目录内价格按照“就低原则”同步调价，调价范围包含解放军总医院各医学中心及医疗区；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6.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封闭耗材（试剂）报价表需按要求加盖供应商及生产企业公章，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如出现多个生产厂家的，需全部生产厂家逐一对其产品盖章确认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；</w:t>
      </w:r>
    </w:p>
    <w:p>
      <w:pPr>
        <w:pStyle w:val="2"/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7.封闭耗材（试剂）报价表及其他要求详见本项目谈判文件通用部分的价格文件附件1-4、1-5。</w:t>
      </w:r>
      <w:bookmarkStart w:id="39" w:name="_GoBack"/>
      <w:bookmarkEnd w:id="39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A269388"/>
    <w:multiLevelType w:val="singleLevel"/>
    <w:tmpl w:val="8A269388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7F6766"/>
    <w:rsid w:val="37596378"/>
    <w:rsid w:val="5846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2025-12-17T02:26:23Z</dcterms:created>
  <dc:creator>admin</dc:creator>
  <cp:lastModifiedBy>admin</cp:lastModifiedBy>
  <dcterms:modified xsi:type="dcterms:W3CDTF">2025-12-17T02:27:51Z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