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2188922"/>
      <w:bookmarkStart w:id="1" w:name="_Toc150423542"/>
      <w:bookmarkStart w:id="2" w:name="_Toc128753410"/>
      <w:bookmarkStart w:id="3" w:name="_Toc128156340"/>
      <w:bookmarkStart w:id="4" w:name="_Toc132191961"/>
      <w:bookmarkStart w:id="5" w:name="_Toc130888893"/>
      <w:bookmarkStart w:id="6" w:name="_Toc128403798"/>
      <w:bookmarkStart w:id="7" w:name="_Toc152058663"/>
      <w:bookmarkStart w:id="8" w:name="_Toc130664008"/>
      <w:r>
        <w:rPr>
          <w:rFonts w:hint="eastAsia" w:ascii="黑体" w:hAnsi="黑体" w:cs="黑体"/>
          <w:b w:val="0"/>
          <w:sz w:val="28"/>
          <w:szCs w:val="28"/>
        </w:rPr>
        <w:t>一、商务要求</w:t>
      </w:r>
    </w:p>
    <w:tbl>
      <w:tblPr>
        <w:tblStyle w:val="6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7"/>
        <w:gridCol w:w="1464"/>
        <w:gridCol w:w="950"/>
        <w:gridCol w:w="5067"/>
        <w:gridCol w:w="95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（（质保））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应当按照统一要求在物资交付前完成打码贴签工作。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2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3"/>
        <w:gridCol w:w="859"/>
        <w:gridCol w:w="464"/>
        <w:gridCol w:w="860"/>
        <w:gridCol w:w="861"/>
        <w:gridCol w:w="860"/>
        <w:gridCol w:w="2012"/>
        <w:gridCol w:w="860"/>
        <w:gridCol w:w="860"/>
        <w:gridCol w:w="8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9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1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2025-JQ06-W5040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电子支气管镜（检查型）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0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447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4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用于支气管的观察、诊断、治疗，适配奥林巴斯CV-1500电子支气管镜系统主机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≥120°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插入管旋转功能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可通过内镜操作部旋转插入管，左右≥120°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包含（2-100）mm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先端部外径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≤4.8mm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器械通道直径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≥2mm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上≥210°、下≥130°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配置要求（至少包括但不限于）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电子支气管内窥镜1条、吸引清洗接头1个、钳子管道开口阀10个、吸引按钮10个、管道清洗刷1个、管道开口清洗刷1个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注：1.单一来源采购项目所有指标均不接受负偏离，经谈判后任意一项不满足采购文件要求，即按废标处理。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bCs/>
          <w:snapToGrid w:val="0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bookmarkStart w:id="9" w:name="_GoBack"/>
      <w:bookmarkEnd w:id="9"/>
    </w:p>
    <w:p/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322808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59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71968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0" name="WordPictureWatermark119072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19072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第六章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4" name="WordPictureWatermark248091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48091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4E65B"/>
    <w:multiLevelType w:val="singleLevel"/>
    <w:tmpl w:val="5314E65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B71DA"/>
    <w:rsid w:val="3FEF052B"/>
    <w:rsid w:val="41E502B4"/>
    <w:rsid w:val="66E9786E"/>
    <w:rsid w:val="6D24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3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4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21"/>
    <w:basedOn w:val="7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2">
    <w:name w:val="font61"/>
    <w:basedOn w:val="7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2025-09-16T09:55:00Z</dcterms:created>
  <dc:creator>admin</dc:creator>
  <cp:lastModifiedBy>admin</cp:lastModifiedBy>
  <dcterms:modified xsi:type="dcterms:W3CDTF">2025-12-26T07:20:55Z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