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firstLine="0" w:firstLineChars="0"/>
        <w:jc w:val="center"/>
        <w:outlineLvl w:val="0"/>
        <w:rPr>
          <w:rFonts w:eastAsia="方正小标宋简体"/>
          <w:kern w:val="0"/>
          <w:sz w:val="44"/>
          <w:szCs w:val="44"/>
        </w:rPr>
      </w:pPr>
      <w:bookmarkStart w:id="0" w:name="_Toc150352114"/>
      <w:bookmarkStart w:id="1" w:name="_Toc128151306"/>
      <w:bookmarkStart w:id="2" w:name="_Toc28299"/>
      <w:bookmarkStart w:id="3" w:name="_Toc19995"/>
      <w:bookmarkStart w:id="4" w:name="_Toc28981"/>
      <w:bookmarkStart w:id="5" w:name="_Toc29657"/>
      <w:bookmarkStart w:id="6" w:name="_Toc121476580"/>
      <w:bookmarkStart w:id="7" w:name="_Toc27147"/>
      <w:bookmarkStart w:id="8" w:name="_Toc113349538"/>
      <w:bookmarkStart w:id="9" w:name="_Toc132399636"/>
      <w:bookmarkStart w:id="10" w:name="_Toc1853"/>
      <w:bookmarkStart w:id="11" w:name="_Toc21632"/>
      <w:bookmarkStart w:id="12" w:name="_Toc112768491"/>
      <w:bookmarkStart w:id="13" w:name="_Toc23828"/>
      <w:bookmarkStart w:id="14" w:name="_Toc130888538"/>
      <w:r>
        <w:rPr>
          <w:rFonts w:hint="eastAsia" w:eastAsia="方正小标宋简体"/>
          <w:kern w:val="0"/>
          <w:sz w:val="44"/>
          <w:szCs w:val="44"/>
        </w:rPr>
        <w:t>第六章</w:t>
      </w:r>
      <w:r>
        <w:rPr>
          <w:rFonts w:eastAsia="方正小标宋简体"/>
          <w:kern w:val="0"/>
          <w:sz w:val="44"/>
          <w:szCs w:val="44"/>
        </w:rPr>
        <w:t xml:space="preserve"> </w:t>
      </w: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line="560" w:lineRule="exact"/>
        <w:ind w:firstLine="560"/>
        <w:rPr>
          <w:rFonts w:hint="eastAsia" w:ascii="宋体" w:hAnsi="宋体"/>
          <w:sz w:val="28"/>
          <w:szCs w:val="28"/>
          <w:lang w:val="zh-CN"/>
        </w:rPr>
      </w:pPr>
      <w:bookmarkStart w:id="15" w:name="_Toc113349540"/>
      <w:bookmarkStart w:id="16" w:name="_Toc128151307"/>
      <w:bookmarkStart w:id="17" w:name="_Toc19477"/>
      <w:bookmarkStart w:id="18" w:name="_Toc5753"/>
      <w:bookmarkStart w:id="19" w:name="_Toc112681847"/>
      <w:bookmarkStart w:id="20" w:name="_Toc31915"/>
      <w:bookmarkStart w:id="21" w:name="_Toc16726"/>
      <w:bookmarkStart w:id="22" w:name="_Toc121476582"/>
      <w:bookmarkStart w:id="23" w:name="_Toc14187"/>
      <w:bookmarkStart w:id="24" w:name="_Toc624"/>
      <w:bookmarkStart w:id="25" w:name="_Toc112768493"/>
      <w:bookmarkStart w:id="26" w:name="_Toc32238"/>
      <w:bookmarkStart w:id="27" w:name="_Toc20518"/>
      <w:r>
        <w:rPr>
          <w:rFonts w:hint="eastAsia" w:ascii="宋体" w:hAnsi="宋体"/>
          <w:sz w:val="28"/>
          <w:szCs w:val="28"/>
          <w:lang w:val="zh-CN"/>
        </w:rPr>
        <w:t>单一来源采购项目所有指标均不接受负偏离，经谈判后任意一项不满足采购文件要求，即按废标处理。</w:t>
      </w:r>
    </w:p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8" w:name="_Toc18800"/>
      <w:r>
        <w:rPr>
          <w:rFonts w:hint="eastAsia" w:eastAsia="黑体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3"/>
        <w:tblpPr w:leftFromText="180" w:rightFromText="180" w:vertAnchor="text" w:horzAnchor="page" w:tblpX="1522" w:tblpY="554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4493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个月内完成服务，服务地点由甲方指定。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签订合同付0%，服务完成验收后付100%。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服务完成后3个月内重复性故障，提供免费换新服务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原厂授权、企业承诺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具有经校正的维修CT的专业维修工具、仪器。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原厂授权、企业承诺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</w:p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29" w:name="_Toc6548"/>
      <w:bookmarkStart w:id="30" w:name="_Toc851"/>
      <w:r>
        <w:rPr>
          <w:rFonts w:hint="eastAsia" w:eastAsia="黑体"/>
          <w:sz w:val="28"/>
          <w:szCs w:val="28"/>
        </w:rPr>
        <w:t>二、技术要求</w:t>
      </w:r>
      <w:bookmarkEnd w:id="29"/>
      <w:bookmarkEnd w:id="30"/>
    </w:p>
    <w:tbl>
      <w:tblPr>
        <w:tblStyle w:val="3"/>
        <w:tblpPr w:leftFromText="180" w:rightFromText="180" w:vertAnchor="text" w:horzAnchor="page" w:tblpX="1079" w:tblpY="554"/>
        <w:tblOverlap w:val="never"/>
        <w:tblW w:w="95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89"/>
        <w:gridCol w:w="720"/>
        <w:gridCol w:w="75"/>
        <w:gridCol w:w="441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提供RevolutionCT整机及其相关部件拆机服务，并搬运至指定地点后，完成装机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及调试服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务；并保证安装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及调试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后设备正常使用。本次移机服务包括拆机、运输、再安装和调试及所产生的操作费用等，移机服务过程中的人员和设备安全由供应商负责。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eastAsia" w:hAnsi="宋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hAnsi="宋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投标人具备医疗设备维修企业资格,并在过去五年内无重大维修事故及法律纠纷发生，提供经年检有效的营业执照。</w:t>
            </w:r>
          </w:p>
          <w:p>
            <w:pPr>
              <w:pStyle w:val="2"/>
              <w:jc w:val="left"/>
              <w:rPr>
                <w:i w:val="0"/>
                <w:iCs w:val="0"/>
              </w:rPr>
            </w:pPr>
            <w:r>
              <w:rPr>
                <w:rFonts w:hint="eastAsia" w:hAnsi="宋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投标人需为原厂或原厂合法医疗设备售后服务授权代理商，并提供相关证明材料。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实际服务商能合法获得、完整使用有效的原厂高级故障诊断维修钥匙(Service Key),以解决相应故障。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提供24小时×365天技术电话支持热线服务。具备服务专线电话服务系统，并有专人接听，配有在线技术支持。当所保设备出现故障时，按照合同约定时间响应，及时派遣工程师进行电话指导或赴现场维修。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供应商或其授权代理商应具有拆装机的专业工具、仪器，并提供序列号和需校正的工具仪器的校正记录文件。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（服务点位）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供应商在北京市内设有长期稳定的服务机构≥3年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配置名称2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（服务人员）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实际服务提供商在国内拥有专业的技术支持团队≥3人，且其中至少1名要求具备大于5年的实际服务提供商连续服务年限并提供资质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中标后提供原厂授权 文件、企业承诺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在国内设有专业的设备零备件仓库，仓库总面积须≥500平方米。并提供相应的租房合同或房产证明资料。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按期将Revolution CT整机及其相关部件运输至医院指定地点并完成安装及调试服务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eastAsia="zh-CN" w:bidi="ar"/>
        </w:rPr>
        <w:t>注</w:t>
      </w: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bidi="ar"/>
        </w:rPr>
        <w:t>.★及▲标识的指标，</w:t>
      </w:r>
      <w:r>
        <w:rPr>
          <w:rFonts w:hint="eastAsia" w:ascii="宋体" w:hAnsi="宋体" w:cs="宋体"/>
          <w:i w:val="0"/>
          <w:iCs w:val="0"/>
          <w:kern w:val="0"/>
          <w:sz w:val="18"/>
          <w:szCs w:val="18"/>
          <w:highlight w:val="none"/>
          <w:lang w:eastAsia="zh-CN" w:bidi="ar"/>
        </w:rPr>
        <w:t>报价供应商须逐条提供证明材料。报价供应商提供的证明材料评审现场存在争议的，以采购单位意见为准。</w:t>
      </w:r>
    </w:p>
    <w:p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6C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5">
    <w:name w:val="列出段落1"/>
    <w:basedOn w:val="1"/>
    <w:qFormat/>
    <w:uiPriority w:val="0"/>
    <w:pPr>
      <w:ind w:firstLine="42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2025-12-31T08:41:27Z</dcterms:created>
  <dc:creator>admin</dc:creator>
  <cp:lastModifiedBy>admin</cp:lastModifiedBy>
  <dcterms:modified xsi:type="dcterms:W3CDTF">2025-12-31T08:41:48Z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