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宋体" w:cs="Times New Roman"/>
        </w:rPr>
      </w:pPr>
    </w:p>
    <w:tbl>
      <w:tblPr>
        <w:tblW w:w="10352" w:type="dxa"/>
        <w:jc w:val="center"/>
        <w:tblInd w:w="-340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9"/>
        <w:gridCol w:w="2100"/>
        <w:gridCol w:w="510"/>
        <w:gridCol w:w="5010"/>
        <w:gridCol w:w="150"/>
        <w:gridCol w:w="390"/>
        <w:gridCol w:w="791"/>
        <w:gridCol w:w="8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03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44"/>
                <w:szCs w:val="44"/>
                <w:u w:val="none"/>
                <w:bdr w:val="none" w:color="auto" w:sz="0" w:space="0"/>
                <w:lang w:val="en-US" w:eastAsia="zh-CN" w:bidi="ar"/>
              </w:rPr>
              <w:t>采购需求表（物资类）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2025-JQ06-W3505</w:t>
            </w:r>
          </w:p>
        </w:tc>
        <w:tc>
          <w:tcPr>
            <w:tcW w:w="5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516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膀胱镜</w:t>
            </w:r>
          </w:p>
        </w:tc>
        <w:tc>
          <w:tcPr>
            <w:tcW w:w="1181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最高限价（万元）</w:t>
            </w:r>
          </w:p>
        </w:tc>
        <w:tc>
          <w:tcPr>
            <w:tcW w:w="82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bookmarkStart w:id="0" w:name="_GoBack"/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5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需求名称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参数性质</w:t>
            </w:r>
          </w:p>
        </w:tc>
        <w:tc>
          <w:tcPr>
            <w:tcW w:w="50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需求具体内容</w:t>
            </w:r>
          </w:p>
        </w:tc>
        <w:tc>
          <w:tcPr>
            <w:tcW w:w="54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是否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量化</w:t>
            </w:r>
          </w:p>
        </w:tc>
        <w:tc>
          <w:tcPr>
            <w:tcW w:w="161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 w:hRule="atLeast"/>
          <w:jc w:val="center"/>
        </w:trPr>
        <w:tc>
          <w:tcPr>
            <w:tcW w:w="10352" w:type="dxa"/>
            <w:gridSpan w:val="8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  <w:jc w:val="center"/>
        </w:trPr>
        <w:tc>
          <w:tcPr>
            <w:tcW w:w="5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基本要求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0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用于膀胱镜疾病的诊断和治疗，可与科室现有storz主机配套使用</w:t>
            </w:r>
          </w:p>
        </w:tc>
        <w:tc>
          <w:tcPr>
            <w:tcW w:w="54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1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彩页或白皮书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资质认证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0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具备NMPA认证</w:t>
            </w:r>
          </w:p>
        </w:tc>
        <w:tc>
          <w:tcPr>
            <w:tcW w:w="54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1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医疗器械注册证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 w:hRule="atLeast"/>
          <w:jc w:val="center"/>
        </w:trPr>
        <w:tc>
          <w:tcPr>
            <w:tcW w:w="5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内窥镜镜体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50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φ4mm  可高温高压消毒</w:t>
            </w:r>
          </w:p>
        </w:tc>
        <w:tc>
          <w:tcPr>
            <w:tcW w:w="54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1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彩页或白皮书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 w:hRule="atLeast"/>
          <w:jc w:val="center"/>
        </w:trPr>
        <w:tc>
          <w:tcPr>
            <w:tcW w:w="5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内窥镜视向角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0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3种规格：</w:t>
            </w:r>
            <w:r>
              <w:rPr>
                <w:rStyle w:val="13"/>
                <w:rFonts w:hint="default" w:ascii="Times New Roman" w:hAnsi="Times New Roman" w:eastAsia="宋体" w:cs="Times New Roman"/>
                <w:color w:val="auto"/>
                <w:sz w:val="21"/>
                <w:szCs w:val="21"/>
                <w:bdr w:val="none" w:color="auto" w:sz="0" w:space="0"/>
                <w:lang w:val="en-US" w:eastAsia="zh-CN" w:bidi="ar"/>
              </w:rPr>
              <w:t>0°、</w:t>
            </w:r>
            <w:r>
              <w:rPr>
                <w:rStyle w:val="14"/>
                <w:rFonts w:hint="default" w:ascii="Times New Roman" w:hAnsi="Times New Roman" w:eastAsia="宋体" w:cs="Times New Roman"/>
                <w:color w:val="auto"/>
                <w:sz w:val="21"/>
                <w:szCs w:val="21"/>
                <w:bdr w:val="none" w:color="auto" w:sz="0" w:space="0"/>
                <w:lang w:val="en-US" w:eastAsia="zh-CN" w:bidi="ar"/>
              </w:rPr>
              <w:t>30°、70°</w:t>
            </w:r>
          </w:p>
        </w:tc>
        <w:tc>
          <w:tcPr>
            <w:tcW w:w="54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1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jc w:val="center"/>
        </w:trPr>
        <w:tc>
          <w:tcPr>
            <w:tcW w:w="5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内窥镜工作长度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0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≥300mm</w:t>
            </w:r>
          </w:p>
        </w:tc>
        <w:tc>
          <w:tcPr>
            <w:tcW w:w="54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1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  <w:jc w:val="center"/>
        </w:trPr>
        <w:tc>
          <w:tcPr>
            <w:tcW w:w="5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内窥镜视场角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50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≥</w:t>
            </w:r>
            <w:r>
              <w:rPr>
                <w:rStyle w:val="13"/>
                <w:rFonts w:hint="default" w:ascii="Times New Roman" w:hAnsi="Times New Roman" w:eastAsia="宋体" w:cs="Times New Roman"/>
                <w:color w:val="auto"/>
                <w:sz w:val="21"/>
                <w:szCs w:val="21"/>
                <w:bdr w:val="none" w:color="auto" w:sz="0" w:space="0"/>
                <w:lang w:val="en-US" w:eastAsia="zh-CN" w:bidi="ar"/>
              </w:rPr>
              <w:t>60°</w:t>
            </w:r>
          </w:p>
        </w:tc>
        <w:tc>
          <w:tcPr>
            <w:tcW w:w="54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1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彩页或白皮书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内窥镜颜色分辨率和色还原性Ra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50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对A标准照明体：Ra≥90%；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对D65标准照明体：Ra≥90%</w:t>
            </w:r>
          </w:p>
        </w:tc>
        <w:tc>
          <w:tcPr>
            <w:tcW w:w="54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1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彩页或白皮书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jc w:val="center"/>
        </w:trPr>
        <w:tc>
          <w:tcPr>
            <w:tcW w:w="5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内窥镜视场中心角分辨力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0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≥2.40C/（°）</w:t>
            </w:r>
          </w:p>
        </w:tc>
        <w:tc>
          <w:tcPr>
            <w:tcW w:w="54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1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5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内窥镜有效景深范围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0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≥（5-50）mm</w:t>
            </w:r>
          </w:p>
        </w:tc>
        <w:tc>
          <w:tcPr>
            <w:tcW w:w="54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1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5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操作器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50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φ3.5mm双通道</w:t>
            </w:r>
          </w:p>
        </w:tc>
        <w:tc>
          <w:tcPr>
            <w:tcW w:w="54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1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彩页或白皮书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5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镜鞘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0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3种规格：</w:t>
            </w:r>
            <w:r>
              <w:rPr>
                <w:rStyle w:val="13"/>
                <w:rFonts w:hint="default" w:ascii="Times New Roman" w:hAnsi="Times New Roman" w:eastAsia="宋体" w:cs="Times New Roman"/>
                <w:color w:val="auto"/>
                <w:sz w:val="21"/>
                <w:szCs w:val="21"/>
                <w:bdr w:val="none" w:color="auto" w:sz="0" w:space="0"/>
                <w:lang w:val="en-US" w:eastAsia="zh-CN" w:bidi="ar"/>
              </w:rPr>
              <w:t>15.5Fr、19.8Fr、21Fr</w:t>
            </w:r>
          </w:p>
        </w:tc>
        <w:tc>
          <w:tcPr>
            <w:tcW w:w="54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1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  <w:jc w:val="center"/>
        </w:trPr>
        <w:tc>
          <w:tcPr>
            <w:tcW w:w="5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连接桥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0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φ3.5mm单通道</w:t>
            </w:r>
          </w:p>
        </w:tc>
        <w:tc>
          <w:tcPr>
            <w:tcW w:w="54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1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  <w:jc w:val="center"/>
        </w:trPr>
        <w:tc>
          <w:tcPr>
            <w:tcW w:w="5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手术器械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0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Style w:val="13"/>
                <w:rFonts w:hint="default" w:ascii="Times New Roman" w:hAnsi="Times New Roman" w:eastAsia="宋体" w:cs="Times New Roman"/>
                <w:color w:val="auto"/>
                <w:sz w:val="21"/>
                <w:szCs w:val="21"/>
                <w:bdr w:val="none" w:color="auto" w:sz="0" w:space="0"/>
                <w:lang w:val="en-US" w:eastAsia="zh-CN" w:bidi="ar"/>
              </w:rPr>
              <w:t>软性活检钳、软性锯齿钳、软性异物钳、软性剪刀 ，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器械粗细7Fr、长度尺寸</w:t>
            </w:r>
            <w:r>
              <w:rPr>
                <w:rStyle w:val="13"/>
                <w:rFonts w:hint="default" w:ascii="Times New Roman" w:hAnsi="Times New Roman" w:eastAsia="宋体" w:cs="Times New Roman"/>
                <w:color w:val="auto"/>
                <w:sz w:val="21"/>
                <w:szCs w:val="21"/>
                <w:bdr w:val="none" w:color="auto" w:sz="0" w:space="0"/>
                <w:lang w:val="en-US" w:eastAsia="zh-CN" w:bidi="ar"/>
              </w:rPr>
              <w:t>（360-410）mm</w:t>
            </w:r>
          </w:p>
        </w:tc>
        <w:tc>
          <w:tcPr>
            <w:tcW w:w="54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1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彩页或白皮书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  <w:jc w:val="center"/>
        </w:trPr>
        <w:tc>
          <w:tcPr>
            <w:tcW w:w="5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配置要求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0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Style w:val="13"/>
                <w:rFonts w:hint="default" w:ascii="Times New Roman" w:hAnsi="Times New Roman" w:eastAsia="宋体" w:cs="Times New Roman"/>
                <w:color w:val="auto"/>
                <w:sz w:val="21"/>
                <w:szCs w:val="21"/>
                <w:bdr w:val="none" w:color="auto" w:sz="0" w:space="0"/>
                <w:lang w:val="en-US" w:eastAsia="zh-CN" w:bidi="ar"/>
              </w:rPr>
              <w:t>内窥镜（0°、30°、70°）各2根</w:t>
            </w:r>
            <w:r>
              <w:rPr>
                <w:rStyle w:val="14"/>
                <w:rFonts w:hint="default" w:ascii="Times New Roman" w:hAnsi="Times New Roman" w:eastAsia="宋体" w:cs="Times New Roman"/>
                <w:color w:val="auto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 ，镜鞘（15.5Fr、19.8Fr、21Fr）各2根，操作器（双通道）2个，连接桥（单通道）2个，器械（剪刀、活检钳、抓取钳、异物钳、锯齿钳）各2把</w:t>
            </w:r>
          </w:p>
        </w:tc>
        <w:tc>
          <w:tcPr>
            <w:tcW w:w="54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1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  <w:jc w:val="center"/>
        </w:trPr>
        <w:tc>
          <w:tcPr>
            <w:tcW w:w="5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配套耗材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（试剂）要求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0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无耗材</w:t>
            </w:r>
          </w:p>
        </w:tc>
        <w:tc>
          <w:tcPr>
            <w:tcW w:w="54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1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  <w:jc w:val="center"/>
        </w:trPr>
        <w:tc>
          <w:tcPr>
            <w:tcW w:w="57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验收标准方法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0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1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jc w:val="center"/>
        </w:trPr>
        <w:tc>
          <w:tcPr>
            <w:tcW w:w="10352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5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交货时间、交货地点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0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54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1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  <w:jc w:val="center"/>
        </w:trPr>
        <w:tc>
          <w:tcPr>
            <w:tcW w:w="5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付款及结算方式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0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签订合同付（预付）0%，物资到货（服务完成）验收后付95%。</w:t>
            </w:r>
          </w:p>
        </w:tc>
        <w:tc>
          <w:tcPr>
            <w:tcW w:w="54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1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履约保证金/质量保证金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0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质保期满后无质量问题支付剩余5%（不超过5%）</w:t>
            </w:r>
          </w:p>
        </w:tc>
        <w:tc>
          <w:tcPr>
            <w:tcW w:w="54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1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产品包装和运输要求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0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54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1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售后服务1（质保）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0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54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61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原厂授权（企业承诺）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售后服务2（质保）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0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54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1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售后服务3（培训）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0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提供不少于3人次、1天的工程师维修培训。</w:t>
            </w:r>
          </w:p>
        </w:tc>
        <w:tc>
          <w:tcPr>
            <w:tcW w:w="54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1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售后服务4（响应时间）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0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维修响应时间≤4小时，维修到达现场时间≤12小时。</w:t>
            </w:r>
          </w:p>
        </w:tc>
        <w:tc>
          <w:tcPr>
            <w:tcW w:w="54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1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备品备件要求（零配件）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0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54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1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  <w:jc w:val="center"/>
        </w:trPr>
        <w:tc>
          <w:tcPr>
            <w:tcW w:w="5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物资编目编码、打码贴签要求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0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54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61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  <w:jc w:val="center"/>
        </w:trPr>
        <w:tc>
          <w:tcPr>
            <w:tcW w:w="5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50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</w:t>
            </w:r>
          </w:p>
        </w:tc>
        <w:tc>
          <w:tcPr>
            <w:tcW w:w="54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61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0352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注：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★及▲标识的指标，需逐条按备注要求提供证明材料，未明确的可由企业提供承诺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。本表所要求的“技术白皮书”为：国产产品需加盖生产厂家及投标人公章；进口产品需加盖国内总代理及投标人公章；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instrText xml:space="preserve"> = 1 \* GB3 \* MERGEFORMAT </w:instrTex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①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▲标识的指标负偏离≥2项，投标企业技术分值为0分；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instrText xml:space="preserve"> = 2 \* GB3 \* MERGEFORMAT </w:instrTex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▲标识的指标和“无标识”指标负偏离≥6项，投标企业技术分值为0分。</w:t>
            </w:r>
          </w:p>
        </w:tc>
      </w:tr>
    </w:tbl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宋体-方正超大字符集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FF360F"/>
    <w:rsid w:val="04281FDC"/>
    <w:rsid w:val="051839D0"/>
    <w:rsid w:val="05B37B5A"/>
    <w:rsid w:val="082B4ED6"/>
    <w:rsid w:val="08B620D9"/>
    <w:rsid w:val="0E1A3029"/>
    <w:rsid w:val="0FD32EEE"/>
    <w:rsid w:val="11191D27"/>
    <w:rsid w:val="112647FA"/>
    <w:rsid w:val="13144B49"/>
    <w:rsid w:val="149831CD"/>
    <w:rsid w:val="1577062F"/>
    <w:rsid w:val="193653F5"/>
    <w:rsid w:val="19884FAF"/>
    <w:rsid w:val="1A294AF7"/>
    <w:rsid w:val="1DC84739"/>
    <w:rsid w:val="1E0130FE"/>
    <w:rsid w:val="1E86147F"/>
    <w:rsid w:val="21354D79"/>
    <w:rsid w:val="279F029D"/>
    <w:rsid w:val="27D57BF3"/>
    <w:rsid w:val="2D4666AE"/>
    <w:rsid w:val="301B3189"/>
    <w:rsid w:val="34403AA9"/>
    <w:rsid w:val="35231D4D"/>
    <w:rsid w:val="384225C0"/>
    <w:rsid w:val="3A8A28B3"/>
    <w:rsid w:val="3CDE6C33"/>
    <w:rsid w:val="3FE85B97"/>
    <w:rsid w:val="40386E8C"/>
    <w:rsid w:val="40BF154D"/>
    <w:rsid w:val="42FB08D9"/>
    <w:rsid w:val="42FF360F"/>
    <w:rsid w:val="45DD50C5"/>
    <w:rsid w:val="46A00816"/>
    <w:rsid w:val="470E502F"/>
    <w:rsid w:val="49AD6B74"/>
    <w:rsid w:val="49D567EA"/>
    <w:rsid w:val="4E0C197D"/>
    <w:rsid w:val="4F6B2382"/>
    <w:rsid w:val="55194E3C"/>
    <w:rsid w:val="577C2C9A"/>
    <w:rsid w:val="582C14A0"/>
    <w:rsid w:val="584063BE"/>
    <w:rsid w:val="58D90164"/>
    <w:rsid w:val="5B2B6830"/>
    <w:rsid w:val="5E956157"/>
    <w:rsid w:val="6276230E"/>
    <w:rsid w:val="63ED5A96"/>
    <w:rsid w:val="67FF0F24"/>
    <w:rsid w:val="6ED97F04"/>
    <w:rsid w:val="73453BBB"/>
    <w:rsid w:val="76BF2494"/>
    <w:rsid w:val="776417EE"/>
    <w:rsid w:val="77DA6198"/>
    <w:rsid w:val="7CB60F59"/>
    <w:rsid w:val="7F3B739E"/>
    <w:rsid w:val="7FB0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character" w:customStyle="1" w:styleId="5">
    <w:name w:val="font5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6">
    <w:name w:val="font21"/>
    <w:basedOn w:val="4"/>
    <w:qFormat/>
    <w:uiPriority w:val="0"/>
    <w:rPr>
      <w:rFonts w:ascii="Arial" w:hAnsi="Arial" w:cs="Arial"/>
      <w:color w:val="000000"/>
      <w:sz w:val="20"/>
      <w:szCs w:val="20"/>
      <w:u w:val="none"/>
    </w:rPr>
  </w:style>
  <w:style w:type="character" w:customStyle="1" w:styleId="7">
    <w:name w:val="font1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8">
    <w:name w:val="font7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9">
    <w:name w:val="font91"/>
    <w:basedOn w:val="4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0">
    <w:name w:val="font41"/>
    <w:basedOn w:val="4"/>
    <w:qFormat/>
    <w:uiPriority w:val="0"/>
    <w:rPr>
      <w:rFonts w:hint="default"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1">
    <w:name w:val="font3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2">
    <w:name w:val="font61"/>
    <w:basedOn w:val="4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3">
    <w:name w:val="font101"/>
    <w:basedOn w:val="4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01"/>
    <w:basedOn w:val="4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2025-08-14T08:55:00Z</dcterms:created>
  <dc:creator>DOCTOR</dc:creator>
  <cp:lastModifiedBy>DOCTOR</cp:lastModifiedBy>
  <dcterms:modified xsi:type="dcterms:W3CDTF">2025-12-31T08:44:21Z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