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443"/>
        <w:gridCol w:w="666"/>
        <w:gridCol w:w="4493"/>
        <w:gridCol w:w="727"/>
        <w:gridCol w:w="11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kern w:val="0"/>
                <w:sz w:val="21"/>
                <w:szCs w:val="21"/>
                <w:highlight w:val="none"/>
                <w:lang w:val="en-US" w:eastAsia="zh-CN" w:bidi="ar"/>
              </w:rPr>
              <w:t>脊髓刺激患者程控充电器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患者使用，用于脊髓刺激器的体外程控/无线充电。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注册证或使用手册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获得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NMPA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颁发的中华人民共和国医疗器械注册证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603"/>
              </w:tabs>
              <w:bidi w:val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可对植入体内的脊髓电刺激器进行参数调整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可对植入体内的脊髓电刺激器进行充电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可被授权定时、变频或体位等模式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兼容脉冲频率至少10000Hz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672"/>
              </w:tabs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至少包含：患者程控充电器，说明书/使用手册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使用手册或其他相关证明材料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综合实力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产品生产企业为高新技术企业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或世界500强医疗器械企业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高新技术企业证书或其他证明资料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b/>
                <w:bCs/>
                <w:sz w:val="21"/>
                <w:szCs w:val="21"/>
                <w:highlight w:val="none"/>
                <w:lang w:val="en-US" w:eastAsia="zh-CN"/>
              </w:rPr>
              <w:t>植入式脊髓神经刺激电极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和适配的植入式脊髓刺激器、延伸导线等配合使用，用于躯干、四肢的慢性顽固性疼痛的辅助治疗。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注册证或使用手册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获得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NMPA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颁发的中华人民共和国医疗器械注册证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包含针状电极和片状电极，电极长度不短于60cm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电极触点材质为铂铱合金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针状电极可提供多种触点间距，多种规格的电极可供选用，片状电极至少包含5-6-5触点排布和双8触点排布。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灭菌提供，可长期植入人体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与适配的脊髓刺激器和程控仪搭配使用，兼容脉冲频率至少10000Hz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针状电极至少包含：电极、塑形钢丝、穿刺针、穿刺导丝等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使用手册或其他相关证明材料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片状电极至少包含：电极、空白电极、通道器等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使用手册或其他相关证明材料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综合实力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产品生产企业为高新技术企业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或世界500强医疗器械企业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高新技术企业证书或其他证明资料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b/>
                <w:bCs/>
                <w:i w:val="0"/>
                <w:iCs w:val="0"/>
                <w:kern w:val="0"/>
                <w:sz w:val="21"/>
                <w:szCs w:val="21"/>
                <w:highlight w:val="none"/>
                <w:lang w:val="en-US" w:eastAsia="zh-CN" w:bidi="ar"/>
              </w:rPr>
              <w:t>植入式脊髓刺激延伸导线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和适配的脊髓刺激器、植入式脊髓刺激电极等联合使用，用于躯干、四肢慢性顽固性疼痛的辅助治疗。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注册证或使用手册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获得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NMPA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颁发的中华人民共和国医疗器械注册证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适配电极直径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≤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1.3mm，长度不短于40cm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无菌提供，连接头类型：8 触点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与适配的脊髓刺激器、电极、程控仪搭配使用，兼容脉冲频率至少10000Hz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至少包含：脊髓刺激延伸导线、硅胶套、扭力改锥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使用手册或其他相关证明材料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综合实力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产品生产企业为高新技术企业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或世界500强医疗器械企业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高新技术企业证书或其他证明资料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b/>
                <w:bCs/>
                <w:i w:val="0"/>
                <w:iCs w:val="0"/>
                <w:kern w:val="0"/>
                <w:sz w:val="21"/>
                <w:szCs w:val="21"/>
                <w:highlight w:val="none"/>
                <w:lang w:val="en-US" w:eastAsia="zh-CN" w:bidi="ar"/>
              </w:rPr>
              <w:t>植入式可充电脊髓刺激器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和适配的植入式脊髓刺激电极、延伸导线等配合使用，用于躯干、四肢的慢性顽固性疼痛的辅助治疗。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注册证或使用手册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获得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NMPA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颁发的中华人民共和国医疗器械注册证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注册证或其他相关证明材料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可充电，可兼容16触点电极，灭菌提供可植入体内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刺激频率最高可设置10000Hz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与适配的程控仪搭配可支持多种刺激模式满足临床需求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至少包含：植入式脊髓刺激器、电极塞、扭力改锥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使用手册或其他相关证明材料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综合实力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产品生产企业为高新技术企业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或世界500强医疗器械企业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高新技术企业证书或其他证明资料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  <w:t>备注：1. 加注“★”号的技术指标为关键指标，≥1项未达到文件要求，即做废标处理。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  <w:t xml:space="preserve">      2.▲标识的指标负偏离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＞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  <w:t>8项，“参数指标偏离情况”得0分。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  <w:lang w:val="en-US" w:eastAsia="zh-CN"/>
              </w:rPr>
              <w:t xml:space="preserve">      3.加注“★”、“▲”号的技术指标均需投标企业提供证明材料。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  <w:t>说明 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  <w:t>（1）★指标为必须响应指标，任意一项不满足要求即做废标处理；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  <w:t>（2）《采购需求表》备注已明确证明材料种类的，以所注内容或国家行政管理部门、专业检测机构出具的证明材料为准；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  <w:t>（3）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highlight w:val="none"/>
                <w:lang w:val="en-US" w:eastAsia="zh-CN"/>
              </w:rPr>
              <w:t>4）无标识指标正偏离需参照上述要求提供技术支持材料，未提供的正偏离不予认可。</w:t>
            </w:r>
            <w:bookmarkEnd w:id="0"/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2EA7"/>
    <w:rsid w:val="000E1DA2"/>
    <w:rsid w:val="002247D0"/>
    <w:rsid w:val="003178EB"/>
    <w:rsid w:val="00326739"/>
    <w:rsid w:val="003A5728"/>
    <w:rsid w:val="003A6CF8"/>
    <w:rsid w:val="004028E6"/>
    <w:rsid w:val="004034EC"/>
    <w:rsid w:val="005321E6"/>
    <w:rsid w:val="006A0213"/>
    <w:rsid w:val="006A3C80"/>
    <w:rsid w:val="006B2EA7"/>
    <w:rsid w:val="00782142"/>
    <w:rsid w:val="007C18CD"/>
    <w:rsid w:val="00845811"/>
    <w:rsid w:val="00865D6C"/>
    <w:rsid w:val="008C0186"/>
    <w:rsid w:val="0093365A"/>
    <w:rsid w:val="00996AAE"/>
    <w:rsid w:val="00A35281"/>
    <w:rsid w:val="00A72B75"/>
    <w:rsid w:val="00A862E8"/>
    <w:rsid w:val="00B41FAF"/>
    <w:rsid w:val="00BC4BA0"/>
    <w:rsid w:val="00D413D2"/>
    <w:rsid w:val="00F11461"/>
    <w:rsid w:val="00FD4A7A"/>
    <w:rsid w:val="1AE9744C"/>
    <w:rsid w:val="23DC37CF"/>
    <w:rsid w:val="298D56E9"/>
    <w:rsid w:val="32EA6F60"/>
    <w:rsid w:val="3D7E6D96"/>
    <w:rsid w:val="686F6AD4"/>
    <w:rsid w:val="688C124F"/>
    <w:rsid w:val="72AB60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Char"/>
    <w:basedOn w:val="9"/>
    <w:link w:val="7"/>
    <w:qFormat/>
    <w:uiPriority w:val="0"/>
    <w:rPr>
      <w:kern w:val="2"/>
      <w:sz w:val="18"/>
      <w:szCs w:val="18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4">
    <w:name w:val="批注框文本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2</Pages>
  <Words>200</Words>
  <Characters>1143</Characters>
  <Lines>9</Lines>
  <Paragraphs>2</Paragraphs>
  <TotalTime>0</TotalTime>
  <ScaleCrop>false</ScaleCrop>
  <LinksUpToDate>false</LinksUpToDate>
  <CharactersWithSpaces>1341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Administrator</cp:lastModifiedBy>
  <cp:lastPrinted>2025-10-13T01:55:00Z</cp:lastPrinted>
  <dcterms:modified xsi:type="dcterms:W3CDTF">2026-01-09T03:51:07Z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