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Lines="50" w:afterLines="50" w:line="572" w:lineRule="exact"/>
        <w:jc w:val="center"/>
        <w:outlineLvl w:val="0"/>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4"/>
        <w:tblW w:w="9060" w:type="dxa"/>
        <w:tblInd w:w="0" w:type="dxa"/>
        <w:tblLayout w:type="fixed"/>
        <w:tblCellMar>
          <w:top w:w="0" w:type="dxa"/>
          <w:left w:w="108" w:type="dxa"/>
          <w:bottom w:w="0" w:type="dxa"/>
          <w:right w:w="108" w:type="dxa"/>
        </w:tblCellMar>
      </w:tblPr>
      <w:tblGrid>
        <w:gridCol w:w="501"/>
        <w:gridCol w:w="1389"/>
        <w:gridCol w:w="720"/>
        <w:gridCol w:w="75"/>
        <w:gridCol w:w="3210"/>
        <w:gridCol w:w="1208"/>
        <w:gridCol w:w="727"/>
        <w:gridCol w:w="1230"/>
      </w:tblGrid>
      <w:tr>
        <w:tblPrEx>
          <w:tblCellMar>
            <w:top w:w="0" w:type="dxa"/>
            <w:left w:w="108" w:type="dxa"/>
            <w:bottom w:w="0" w:type="dxa"/>
            <w:right w:w="108" w:type="dxa"/>
          </w:tblCellMar>
        </w:tblPrEx>
        <w:trPr>
          <w:trHeight w:val="500" w:hRule="atLeast"/>
        </w:trPr>
        <w:tc>
          <w:tcPr>
            <w:tcW w:w="2685" w:type="dxa"/>
            <w:gridSpan w:val="4"/>
            <w:tcBorders>
              <w:top w:val="single" w:color="000000" w:sz="4" w:space="0"/>
              <w:left w:val="single" w:color="000000" w:sz="4" w:space="0"/>
              <w:bottom w:val="single" w:color="000000" w:sz="4" w:space="0"/>
              <w:right w:val="nil"/>
            </w:tcBorders>
            <w:vAlign w:val="center"/>
          </w:tcPr>
          <w:p>
            <w:pPr>
              <w:widowControl/>
              <w:spacing w:line="240" w:lineRule="exact"/>
              <w:jc w:val="center"/>
              <w:rPr>
                <w:rFonts w:ascii="黑体" w:hAnsi="宋体" w:eastAsia="黑体" w:cs="黑体"/>
                <w:sz w:val="20"/>
              </w:rPr>
            </w:pPr>
            <w:r>
              <w:rPr>
                <w:rFonts w:hint="eastAsia" w:ascii="黑体" w:hAnsi="宋体" w:eastAsia="黑体" w:cs="黑体"/>
                <w:kern w:val="0"/>
                <w:sz w:val="20"/>
              </w:rPr>
              <w:t>项目名称</w:t>
            </w:r>
          </w:p>
        </w:tc>
        <w:tc>
          <w:tcPr>
            <w:tcW w:w="3210" w:type="dxa"/>
            <w:tcBorders>
              <w:top w:val="single" w:color="000000" w:sz="4" w:space="0"/>
              <w:left w:val="single" w:color="000000" w:sz="4" w:space="0"/>
              <w:bottom w:val="nil"/>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color w:val="000000"/>
                <w:sz w:val="20"/>
              </w:rPr>
              <w:t>多参数中心监护仪（1拖4）</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25</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441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9060"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Cs/>
                <w:color w:val="000000"/>
                <w:sz w:val="20"/>
              </w:rPr>
              <w:t>用于实时监测及回顾查看患者各项生命体征，并实现中央工作站的集中管理；适用于所有年龄段患者。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9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Cs/>
                <w:color w:val="000000"/>
                <w:sz w:val="20"/>
              </w:rPr>
              <w:t>具备NMPA认证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color w:val="000000"/>
                <w:kern w:val="0"/>
                <w:sz w:val="20"/>
              </w:rPr>
              <w:t>主机同时接入床旁机数量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
                <w:iCs/>
                <w:kern w:val="0"/>
                <w:sz w:val="20"/>
              </w:rPr>
              <w:t>≥4个</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trike/>
                <w:color w:val="FF000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4</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color w:val="000000"/>
                <w:kern w:val="0"/>
                <w:sz w:val="20"/>
              </w:rPr>
              <w:t>主机实时显示参数类型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Cs/>
                <w:color w:val="000000"/>
                <w:sz w:val="20"/>
              </w:rPr>
              <w:t>包括但不限于：ECG、ST、QT/QTC、RESP、SPO</w:t>
            </w:r>
            <w:r>
              <w:rPr>
                <w:rFonts w:hint="eastAsia" w:ascii="黑体" w:hAnsi="宋体" w:eastAsia="黑体" w:cs="黑体"/>
                <w:iCs/>
                <w:sz w:val="20"/>
                <w:vertAlign w:val="subscript"/>
              </w:rPr>
              <w:t>2</w:t>
            </w:r>
            <w:r>
              <w:rPr>
                <w:rFonts w:hint="eastAsia" w:ascii="黑体" w:hAnsi="宋体" w:eastAsia="黑体" w:cs="黑体"/>
                <w:iCs/>
                <w:color w:val="000000"/>
                <w:sz w:val="20"/>
              </w:rPr>
              <w:t>、IBP、C.O.、AG、EEG、NMT、rSO</w:t>
            </w:r>
            <w:r>
              <w:rPr>
                <w:rFonts w:hint="eastAsia" w:ascii="黑体" w:hAnsi="宋体" w:eastAsia="黑体" w:cs="黑体"/>
                <w:iCs/>
                <w:sz w:val="20"/>
                <w:vertAlign w:val="subscript"/>
              </w:rPr>
              <w:t>2</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5</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color w:val="000000"/>
                <w:kern w:val="0"/>
                <w:sz w:val="20"/>
              </w:rPr>
              <w:t>主机屏幕尺寸</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宋体" w:eastAsia="黑体" w:cs="黑体"/>
                <w:iCs/>
                <w:color w:val="000000"/>
                <w:sz w:val="20"/>
              </w:rPr>
              <w:t>≥24英寸</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color w:val="000000"/>
                <w:kern w:val="0"/>
                <w:sz w:val="20"/>
              </w:rPr>
              <w:t>主机屏幕同屏显示</w:t>
            </w:r>
            <w:r>
              <w:rPr>
                <w:rFonts w:hint="eastAsia" w:ascii="黑体" w:hAnsi="宋体" w:eastAsia="黑体" w:cs="黑体"/>
                <w:iCs/>
                <w:color w:val="000000"/>
                <w:sz w:val="20"/>
              </w:rPr>
              <w:t>患者信息数量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≥4个</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color w:val="000000"/>
                <w:kern w:val="0"/>
                <w:sz w:val="20"/>
              </w:rPr>
              <w:t>主机与床旁机双向操作功能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具备</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color w:val="000000"/>
                <w:kern w:val="0"/>
                <w:sz w:val="20"/>
              </w:rPr>
              <w:t>主机报警功能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报警上下限可调；具备声光分级报警，同步监护仪报警；≥500条报警事件回顾</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color w:val="000000"/>
                <w:kern w:val="0"/>
                <w:sz w:val="20"/>
              </w:rPr>
              <w:t>主机信息储存</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≥20000个历史病人监护数据的存储</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highlight w:val="yellow"/>
              </w:rPr>
            </w:pPr>
            <w:r>
              <w:rPr>
                <w:rFonts w:hint="eastAsia" w:ascii="黑体" w:hAnsi="黑体" w:eastAsia="黑体" w:cs="黑体"/>
                <w:color w:val="000000"/>
                <w:kern w:val="0"/>
                <w:sz w:val="20"/>
              </w:rPr>
              <w:t>主机信息回顾</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黑体" w:hAnsi="黑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≥240小时长趋势回顾和4小时短趋势回顾，≥240小时全息波形回顾</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11</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UPS电源支持系统工作时间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≥4小时</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床旁监护仪（1）</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插件式监护仪</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监护仪（1）结构</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trike/>
                <w:color w:val="FF000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显示屏主机一体化，无风扇设计</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trike/>
                <w:color w:val="FF0000"/>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监护仪（1）监测功能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trike/>
                <w:color w:val="FF000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可同时监测心电、血氧、脉搏、呼吸、无创血压、体温等基础参数；并可同时监测有创血压</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trike/>
                <w:color w:val="FF0000"/>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15</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监护仪（1）屏幕尺寸</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trike/>
                <w:color w:val="FF000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≥15英寸彩色液晶触摸屏</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trike/>
                <w:color w:val="FF0000"/>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16</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监护仪（1）波形</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≥10通道波形显示，波形颜色与位置可调</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17</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监护仪（1）界面</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具备趋势共存界面、呼吸氧和图界面，大字体显示界面及标准显示界面等多种显示界面可选</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18</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监护仪（1）USB功能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主机带有≥4个USB接口，可以支持连接存储介质、鼠标、键盘、条码扫描枪等USB设备</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监护仪（1）工作模式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至少具备监护模式、待机模式、夜间模式等多种模式</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监护仪（1）存储</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≥1000条时间回顾；≥1000条NIBP测量；≥48小时全息波形；≥120小时趋势回顾</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21</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监护仪（1）计算功能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至少具有药物浓度、血流动力学、氧和、通气、肾功能等多种计算功能</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22</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监护仪（1）抗电击程度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ECG、TEMP、Sp</w:t>
            </w:r>
            <w:r>
              <w:rPr>
                <w:rFonts w:hint="eastAsia" w:ascii="黑体" w:hAnsi="宋体" w:eastAsia="黑体" w:cs="黑体"/>
                <w:iCs/>
                <w:sz w:val="20"/>
              </w:rPr>
              <w:t>O</w:t>
            </w:r>
            <w:r>
              <w:rPr>
                <w:rFonts w:hint="eastAsia" w:ascii="黑体" w:hAnsi="宋体" w:eastAsia="黑体" w:cs="黑体"/>
                <w:iCs/>
                <w:sz w:val="20"/>
                <w:vertAlign w:val="subscript"/>
              </w:rPr>
              <w:t>2</w:t>
            </w:r>
            <w:r>
              <w:rPr>
                <w:rFonts w:hint="eastAsia" w:ascii="黑体" w:hAnsi="宋体" w:eastAsia="黑体" w:cs="黑体"/>
                <w:iCs/>
                <w:color w:val="000000"/>
                <w:sz w:val="20"/>
              </w:rPr>
              <w:t>、NIBP监测参数抗电击程度为防除颤CF型</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监护仪（1）主机电池</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内置锂电池，支持工作时间≥4小时</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24</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监护仪（1）防水/防震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至少满足IPX1防泼溅，1.2m抗跌落测试</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25</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监护仪（1）插槽数量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黑体" w:hAnsi="黑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≥6个</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26</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监护仪（1）心律失常分析</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支持≥25种，包括室上性心动过速</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27</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监护仪（1）心律测量范围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≥（30-200）次/分钟，最大误差±（示值的5%+1）次/分钟</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28</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监护仪（1）心电导联线</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支持3导、5导心电导联线；可升级支持12导联线</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监护仪（1）心电扫描速度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心电波形扫描速度支持6.25mm/s、12.5 mm/s、25 mm/s和50 mm/s，误差 ±5%</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监护仪（1）QT/QTc</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心电监护支持心率，ST段测量，心律失常分析，QT/QTc连续实时测量和对应报警功能</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31</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监护仪（1）静态压力范围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≥（0-260mmHg）,最大误差± 3mmHg</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32</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监护仪（1）呼吸频率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≥（0-100）次/分钟，最大误差±2次/分钟</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监护仪（1）血氧范围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（70-100）%，最大误差±2%</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34</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监护仪（1）体温</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测量范围（0-50</w:t>
            </w:r>
            <w:r>
              <w:rPr>
                <w:rFonts w:hint="eastAsia" w:ascii="黑体" w:hAnsi="黑体" w:eastAsia="黑体" w:cs="黑体"/>
                <w:color w:val="000000"/>
                <w:kern w:val="0"/>
                <w:sz w:val="20"/>
              </w:rPr>
              <w:t>℃</w:t>
            </w:r>
            <w:r>
              <w:rPr>
                <w:rFonts w:hint="eastAsia" w:ascii="黑体" w:hAnsi="宋体" w:eastAsia="黑体" w:cs="黑体"/>
                <w:iCs/>
                <w:color w:val="000000"/>
                <w:sz w:val="20"/>
              </w:rPr>
              <w:t>）  最大误差±0.1</w:t>
            </w:r>
            <w:r>
              <w:rPr>
                <w:rFonts w:hint="eastAsia" w:ascii="黑体" w:hAnsi="黑体" w:eastAsia="黑体" w:cs="黑体"/>
                <w:color w:val="000000"/>
                <w:kern w:val="0"/>
                <w:sz w:val="20"/>
              </w:rPr>
              <w:t>℃</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strike/>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35</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监护仪（1）有创压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黑体" w:hAnsi="宋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具备有创压测量功能，≥2通道</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36</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监护仪（1）有创压类型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r>
              <w:rPr>
                <w:rFonts w:hint="eastAsia" w:ascii="黑体" w:hAnsi="黑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至少可测ART动脉压、PA肺动脉压、CVP中心静脉压、RAP右心房压、LAP左心房压</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37</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监护仪（1）无创血压测量模式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r>
              <w:rPr>
                <w:rFonts w:hint="eastAsia" w:ascii="黑体" w:hAnsi="黑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至少具备手动、自动、间隔、连续、整点五种测量模式</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38</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监护仪（1）转运模块</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r>
              <w:rPr>
                <w:rFonts w:hint="eastAsia" w:ascii="黑体" w:hAnsi="黑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配备同品牌转运模块，能够与主机即插即用</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监护仪（1）转运模块屏幕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r>
              <w:rPr>
                <w:rFonts w:hint="eastAsia" w:ascii="黑体" w:hAnsi="黑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≥5英寸彩色液晶触摸屏</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监护仪（1）转运模块可监测功能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可同时监测心电、血氧、脉搏、呼吸、无创血压等基础参数；并可同时监测有创血压</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41</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监护仪（1）转运模块电池</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内置锂电池，工作时间≥5小时</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42</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监护仪（1）有创连续心排量监测模块</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r>
              <w:rPr>
                <w:rFonts w:hint="eastAsia" w:ascii="黑体" w:hAnsi="宋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配备</w:t>
            </w:r>
            <w:r>
              <w:rPr>
                <w:rFonts w:hint="eastAsia" w:ascii="黑体" w:hAnsi="宋体" w:eastAsia="黑体" w:cs="黑体"/>
                <w:iCs/>
                <w:sz w:val="20"/>
              </w:rPr>
              <w:t>可兼容</w:t>
            </w:r>
            <w:r>
              <w:rPr>
                <w:rFonts w:hint="eastAsia" w:ascii="黑体" w:hAnsi="黑体" w:eastAsia="黑体" w:cs="黑体"/>
                <w:color w:val="000000"/>
                <w:kern w:val="0"/>
                <w:sz w:val="20"/>
              </w:rPr>
              <w:t>有创连续心排量监测模块，能够与主机即插即用</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监护仪（1）有创连续心排量监测模块监测参数</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r>
              <w:rPr>
                <w:rFonts w:hint="eastAsia" w:ascii="黑体" w:hAnsi="黑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至少可监测胸腔内血容量、血管外肺水</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44</w:t>
            </w:r>
          </w:p>
        </w:tc>
        <w:tc>
          <w:tcPr>
            <w:tcW w:w="1389" w:type="dxa"/>
            <w:tcBorders>
              <w:top w:val="single" w:color="000000" w:sz="4" w:space="0"/>
              <w:left w:val="single" w:color="000000" w:sz="4" w:space="0"/>
              <w:bottom w:val="single" w:color="000000" w:sz="4" w:space="0"/>
              <w:right w:val="single" w:color="000000" w:sz="4" w:space="0"/>
            </w:tcBorders>
            <w:vAlign w:val="center"/>
          </w:tcPr>
          <w:p>
            <w:pPr>
              <w:tabs>
                <w:tab w:val="left" w:pos="881"/>
              </w:tabs>
              <w:jc w:val="left"/>
              <w:rPr>
                <w:rFonts w:ascii="黑体" w:hAnsi="黑体" w:eastAsia="黑体" w:cs="黑体"/>
                <w:color w:val="000000"/>
                <w:kern w:val="0"/>
                <w:sz w:val="20"/>
              </w:rPr>
            </w:pPr>
            <w:r>
              <w:rPr>
                <w:rFonts w:hint="eastAsia" w:ascii="黑体" w:hAnsi="黑体" w:eastAsia="黑体" w:cs="黑体"/>
                <w:color w:val="000000"/>
                <w:kern w:val="0"/>
                <w:sz w:val="20"/>
              </w:rPr>
              <w:t>监护仪（1）报警及安全指示：</w:t>
            </w:r>
          </w:p>
          <w:p>
            <w:pPr>
              <w:widowControl/>
              <w:spacing w:line="240" w:lineRule="exact"/>
              <w:jc w:val="center"/>
              <w:textAlignment w:val="center"/>
              <w:rPr>
                <w:rFonts w:ascii="黑体" w:hAnsi="黑体" w:eastAsia="黑体" w:cs="黑体"/>
                <w:kern w:val="0"/>
                <w:sz w:val="20"/>
              </w:rPr>
            </w:pP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color w:val="000000"/>
                <w:kern w:val="0"/>
                <w:sz w:val="20"/>
              </w:rPr>
            </w:pPr>
            <w:r>
              <w:rPr>
                <w:rFonts w:hint="eastAsia" w:ascii="黑体" w:hAnsi="黑体" w:eastAsia="黑体" w:cs="黑体"/>
                <w:color w:val="000000"/>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tabs>
                <w:tab w:val="left" w:pos="881"/>
              </w:tabs>
              <w:jc w:val="left"/>
              <w:rPr>
                <w:rFonts w:ascii="黑体" w:hAnsi="宋体" w:eastAsia="黑体" w:cs="黑体"/>
                <w:iCs/>
                <w:color w:val="000000"/>
                <w:sz w:val="20"/>
              </w:rPr>
            </w:pPr>
            <w:r>
              <w:rPr>
                <w:rFonts w:hint="eastAsia" w:ascii="黑体" w:hAnsi="黑体" w:eastAsia="黑体" w:cs="黑体"/>
                <w:color w:val="000000"/>
                <w:kern w:val="0"/>
                <w:sz w:val="20"/>
              </w:rPr>
              <w:t>1.</w:t>
            </w:r>
            <w:r>
              <w:rPr>
                <w:rFonts w:hint="eastAsia" w:ascii="黑体" w:hAnsi="宋体" w:eastAsia="黑体" w:cs="黑体"/>
                <w:iCs/>
                <w:color w:val="000000"/>
                <w:sz w:val="20"/>
              </w:rPr>
              <w:t>监护仪具备声光分级报警，报警上下限可调</w:t>
            </w:r>
          </w:p>
          <w:p>
            <w:pPr>
              <w:widowControl/>
              <w:spacing w:line="240" w:lineRule="exact"/>
              <w:jc w:val="left"/>
              <w:textAlignment w:val="center"/>
              <w:rPr>
                <w:rFonts w:ascii="黑体" w:hAnsi="黑体" w:eastAsia="黑体" w:cs="黑体"/>
                <w:color w:val="000000"/>
                <w:kern w:val="0"/>
                <w:sz w:val="20"/>
              </w:rPr>
            </w:pPr>
            <w:r>
              <w:rPr>
                <w:rFonts w:hint="eastAsia" w:ascii="黑体" w:hAnsi="宋体" w:eastAsia="黑体" w:cs="黑体"/>
                <w:iCs/>
                <w:color w:val="000000"/>
                <w:sz w:val="20"/>
              </w:rPr>
              <w:t>2.支持图形化报警（电极片脱落，对应电极片屏幕闪烁报警），并可自动设置报警阈值</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kern w:val="0"/>
                <w:sz w:val="20"/>
              </w:rPr>
            </w:pPr>
            <w:r>
              <w:rPr>
                <w:rFonts w:hint="eastAsia" w:ascii="黑体" w:hAnsi="宋体" w:eastAsia="黑体" w:cs="黑体"/>
                <w:i/>
                <w:iCs/>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45</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配置要求1</w:t>
            </w:r>
          </w:p>
          <w:p>
            <w:pPr>
              <w:widowControl/>
              <w:spacing w:line="240" w:lineRule="exact"/>
              <w:jc w:val="center"/>
              <w:textAlignment w:val="center"/>
              <w:rPr>
                <w:rFonts w:ascii="黑体" w:hAnsi="黑体" w:eastAsia="黑体" w:cs="黑体"/>
                <w:kern w:val="0"/>
                <w:sz w:val="20"/>
              </w:rPr>
            </w:pPr>
            <w:r>
              <w:rPr>
                <w:rFonts w:hint="eastAsia" w:ascii="黑体" w:hAnsi="黑体" w:eastAsia="黑体" w:cs="黑体"/>
                <w:color w:val="000000"/>
                <w:kern w:val="0"/>
                <w:sz w:val="20"/>
              </w:rPr>
              <w:t>联网功能要求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黑体" w:eastAsia="黑体" w:cs="黑体"/>
                <w:kern w:val="0"/>
                <w:sz w:val="20"/>
              </w:rPr>
              <w:t>满足与医院ＨＩＳ、ＬＩＳ连接，</w:t>
            </w:r>
            <w:r>
              <w:rPr>
                <w:rFonts w:hint="eastAsia" w:ascii="黑体" w:hAnsi="黑体" w:eastAsia="黑体" w:cs="黑体"/>
                <w:color w:val="000000"/>
                <w:kern w:val="0"/>
                <w:sz w:val="20"/>
              </w:rPr>
              <w:t xml:space="preserve"> 监护设备需满足HL7协议，</w:t>
            </w:r>
            <w:r>
              <w:rPr>
                <w:rFonts w:hint="eastAsia" w:ascii="黑体" w:hAnsi="黑体" w:eastAsia="黑体" w:cs="黑体"/>
                <w:kern w:val="0"/>
                <w:sz w:val="20"/>
              </w:rPr>
              <w:t>供应商承担接口等相关费用</w:t>
            </w:r>
          </w:p>
        </w:tc>
        <w:tc>
          <w:tcPr>
            <w:tcW w:w="727" w:type="dxa"/>
            <w:tcBorders>
              <w:top w:val="single" w:color="000000" w:sz="4" w:space="0"/>
              <w:left w:val="single" w:color="000000" w:sz="4" w:space="0"/>
              <w:bottom w:val="single" w:color="000000" w:sz="4" w:space="0"/>
              <w:right w:val="single" w:color="000000" w:sz="4" w:space="0"/>
            </w:tcBorders>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sz w:val="20"/>
              </w:rPr>
              <w:t>46</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配置要求2</w:t>
            </w:r>
            <w:r>
              <w:rPr>
                <w:rFonts w:hint="eastAsia" w:ascii="黑体" w:hAnsi="黑体" w:eastAsia="黑体" w:cs="黑体"/>
                <w:color w:val="000000"/>
                <w:kern w:val="0"/>
                <w:sz w:val="20"/>
              </w:rPr>
              <w:t>接口和数据协议要求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i/>
                <w:iCs/>
                <w:sz w:val="20"/>
              </w:rPr>
            </w:pPr>
            <w:r>
              <w:rPr>
                <w:rFonts w:hint="eastAsia" w:ascii="黑体" w:hAnsi="黑体" w:eastAsia="黑体" w:cs="黑体"/>
                <w:color w:val="000000"/>
                <w:kern w:val="0"/>
                <w:sz w:val="20"/>
              </w:rPr>
              <w:t>设备厂商向院方提供详细的有关接口形式和数据传输协议的说明文档，交由物联网项目组验收,并配合院方解决设备联网相关问题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i/>
                <w:iCs/>
                <w:sz w:val="20"/>
              </w:rPr>
            </w:pPr>
            <w:r>
              <w:rPr>
                <w:rFonts w:hint="eastAsia" w:ascii="黑体" w:hAnsi="宋体" w:eastAsia="黑体" w:cs="黑体"/>
                <w:i/>
                <w:iCs/>
                <w:kern w:val="0"/>
                <w:sz w:val="20"/>
              </w:rPr>
              <w:t>企业承诺</w:t>
            </w:r>
          </w:p>
        </w:tc>
      </w:tr>
      <w:tr>
        <w:tblPrEx>
          <w:tblCellMar>
            <w:top w:w="0" w:type="dxa"/>
            <w:left w:w="108" w:type="dxa"/>
            <w:bottom w:w="0" w:type="dxa"/>
            <w:right w:w="108" w:type="dxa"/>
          </w:tblCellMar>
        </w:tblPrEx>
        <w:trPr>
          <w:trHeight w:val="500" w:hRule="atLeast"/>
        </w:trPr>
        <w:tc>
          <w:tcPr>
            <w:tcW w:w="9060" w:type="dxa"/>
            <w:gridSpan w:val="8"/>
            <w:tcBorders>
              <w:top w:val="single" w:color="000000" w:sz="4" w:space="0"/>
              <w:left w:val="single" w:color="000000" w:sz="4" w:space="0"/>
              <w:bottom w:val="single" w:color="000000" w:sz="4" w:space="0"/>
              <w:right w:val="single" w:color="000000" w:sz="4" w:space="0"/>
            </w:tcBorders>
            <w:vAlign w:val="center"/>
          </w:tcPr>
          <w:p>
            <w:pPr>
              <w:widowControl/>
              <w:spacing w:line="480" w:lineRule="auto"/>
              <w:jc w:val="center"/>
              <w:textAlignment w:val="center"/>
              <w:rPr>
                <w:rFonts w:ascii="黑体" w:hAnsi="宋体" w:eastAsia="黑体" w:cs="黑体"/>
                <w:i/>
                <w:iCs/>
                <w:kern w:val="0"/>
                <w:sz w:val="20"/>
              </w:rPr>
            </w:pPr>
            <w:r>
              <w:rPr>
                <w:rFonts w:hint="eastAsia" w:ascii="黑体" w:hAnsi="宋体" w:eastAsia="黑体" w:cs="黑体"/>
                <w:i/>
                <w:iCs/>
                <w:kern w:val="0"/>
                <w:sz w:val="20"/>
              </w:rPr>
              <w:t>经济要求</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sz w:val="20"/>
              </w:rPr>
            </w:pPr>
            <w:r>
              <w:rPr>
                <w:rFonts w:hint="eastAsia" w:ascii="黑体" w:hAnsi="黑体" w:eastAsia="黑体" w:cs="黑体"/>
                <w:sz w:val="20"/>
              </w:rPr>
              <w:t>1</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黑体" w:eastAsia="黑体" w:cs="黑体"/>
                <w:sz w:val="20"/>
              </w:rPr>
              <w:t>合同签订后3个月内交付，交付地点由甲方指定。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sz w:val="20"/>
              </w:rPr>
            </w:pPr>
            <w:r>
              <w:rPr>
                <w:rFonts w:hint="eastAsia" w:ascii="黑体" w:hAnsi="黑体" w:eastAsia="黑体" w:cs="黑体"/>
                <w:sz w:val="20"/>
              </w:rPr>
              <w:t>2</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产品包装和运输要求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黑体" w:eastAsia="黑体" w:cs="黑体"/>
                <w:sz w:val="20"/>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3</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物资到货（服务完成）验收后付95%。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sz w:val="20"/>
              </w:rPr>
            </w:pPr>
            <w:r>
              <w:rPr>
                <w:rFonts w:hint="eastAsia" w:ascii="黑体" w:hAnsi="黑体" w:eastAsia="黑体" w:cs="黑体"/>
                <w:sz w:val="20"/>
              </w:rPr>
              <w:t>4</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履约保证金/质量保证金</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验收合格后满1年无质量问题支付剩余5%（不超过5%）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sz w:val="20"/>
              </w:rPr>
            </w:pPr>
            <w:r>
              <w:rPr>
                <w:rFonts w:hint="eastAsia" w:ascii="黑体" w:hAnsi="黑体" w:eastAsia="黑体" w:cs="黑体"/>
                <w:sz w:val="20"/>
              </w:rPr>
              <w:t>5</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原厂保修年限</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黑体" w:eastAsia="黑体" w:cs="黑体"/>
                <w:sz w:val="20"/>
              </w:rPr>
              <w:t>保修年限不低于3年，全年故障停机时间不高于5%（按365日/年计算)。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sz w:val="20"/>
              </w:rPr>
            </w:pPr>
            <w:r>
              <w:rPr>
                <w:rFonts w:hint="eastAsia" w:ascii="黑体" w:hAnsi="黑体" w:eastAsia="黑体" w:cs="黑体"/>
                <w:sz w:val="20"/>
              </w:rPr>
              <w:t>6</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升级与软件维护</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黑体" w:eastAsia="黑体" w:cs="黑体"/>
                <w:sz w:val="20"/>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7</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维修培训</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提供不少于1人次的工程师维修培训。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sz w:val="20"/>
              </w:rPr>
            </w:pPr>
            <w:r>
              <w:rPr>
                <w:rFonts w:hint="eastAsia" w:ascii="黑体" w:hAnsi="黑体" w:eastAsia="黑体" w:cs="黑体"/>
                <w:sz w:val="20"/>
              </w:rPr>
              <w:t>8</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到位维修响应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黑体" w:eastAsia="黑体" w:cs="黑体"/>
                <w:sz w:val="20"/>
              </w:rPr>
              <w:t>维修响应时间≤24小时内，维修到达现场时间≤48小时内。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7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9</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备品备件要求（零配件）</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由供应商承诺项目使用寿命周期内保证零配件供应。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宋体" w:eastAsia="黑体" w:cs="黑体"/>
                <w:kern w:val="0"/>
                <w:sz w:val="20"/>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10</w:t>
            </w:r>
          </w:p>
        </w:tc>
        <w:tc>
          <w:tcPr>
            <w:tcW w:w="1389"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黑体" w:eastAsia="黑体" w:cs="黑体"/>
                <w:kern w:val="0"/>
                <w:sz w:val="20"/>
              </w:rPr>
            </w:pPr>
            <w:r>
              <w:rPr>
                <w:rFonts w:hint="eastAsia" w:ascii="黑体" w:hAnsi="黑体" w:eastAsia="黑体" w:cs="黑体"/>
                <w:sz w:val="20"/>
              </w:rPr>
              <w:t>物资编目编码、打码贴签要求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kern w:val="0"/>
                <w:sz w:val="20"/>
              </w:rPr>
            </w:pPr>
            <w:r>
              <w:rPr>
                <w:rFonts w:hint="eastAsia" w:ascii="黑体" w:hAnsi="黑体" w:eastAsia="黑体" w:cs="黑体"/>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黑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i/>
                <w:iCs/>
                <w:kern w:val="0"/>
                <w:sz w:val="20"/>
              </w:rPr>
            </w:pPr>
            <w:r>
              <w:rPr>
                <w:rFonts w:hint="eastAsia" w:ascii="黑体" w:hAnsi="宋体" w:eastAsia="黑体" w:cs="黑体"/>
                <w:kern w:val="0"/>
                <w:sz w:val="20"/>
              </w:rPr>
              <w:t>企业承诺</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diMmMxNGExNTAwOTQyYzQ5NTczYjcwNTdhYzk1MTcifQ=="/>
  </w:docVars>
  <w:rsids>
    <w:rsidRoot w:val="000C6DEB"/>
    <w:rsid w:val="000165E3"/>
    <w:rsid w:val="000C6DEB"/>
    <w:rsid w:val="00226D67"/>
    <w:rsid w:val="002418BA"/>
    <w:rsid w:val="00295166"/>
    <w:rsid w:val="002A03CC"/>
    <w:rsid w:val="002A7C3B"/>
    <w:rsid w:val="003157B0"/>
    <w:rsid w:val="0040052A"/>
    <w:rsid w:val="0048791F"/>
    <w:rsid w:val="006C2C6C"/>
    <w:rsid w:val="006D1635"/>
    <w:rsid w:val="00785C6D"/>
    <w:rsid w:val="00817550"/>
    <w:rsid w:val="0083431B"/>
    <w:rsid w:val="008D138C"/>
    <w:rsid w:val="009A6F10"/>
    <w:rsid w:val="00A1560A"/>
    <w:rsid w:val="00A842D6"/>
    <w:rsid w:val="00B45973"/>
    <w:rsid w:val="00C109A3"/>
    <w:rsid w:val="00C305C8"/>
    <w:rsid w:val="00CA40D1"/>
    <w:rsid w:val="00DE6E9B"/>
    <w:rsid w:val="00E4339E"/>
    <w:rsid w:val="00F22C12"/>
    <w:rsid w:val="00F2579C"/>
    <w:rsid w:val="00FF2BE6"/>
    <w:rsid w:val="0B211DEF"/>
    <w:rsid w:val="0C8E70FD"/>
    <w:rsid w:val="14C231E9"/>
    <w:rsid w:val="4A8C1D17"/>
    <w:rsid w:val="4E8A0701"/>
    <w:rsid w:val="4ED27537"/>
    <w:rsid w:val="52FC70F5"/>
    <w:rsid w:val="55DD7960"/>
    <w:rsid w:val="5A191574"/>
    <w:rsid w:val="70445983"/>
    <w:rsid w:val="71102337"/>
    <w:rsid w:val="719B2785"/>
    <w:rsid w:val="78AE21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character" w:customStyle="1" w:styleId="8">
    <w:name w:val="font111"/>
    <w:basedOn w:val="5"/>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1608</Words>
  <Characters>1786</Characters>
  <Lines>357</Lines>
  <Paragraphs>308</Paragraphs>
  <TotalTime>0</TotalTime>
  <ScaleCrop>false</ScaleCrop>
  <LinksUpToDate>false</LinksUpToDate>
  <CharactersWithSpaces>3086</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2025-09-17T00:40:00Z</dcterms:created>
  <dc:creator>胡佩</dc:creator>
  <cp:lastModifiedBy>Lenovo</cp:lastModifiedBy>
  <cp:lastPrinted>2025-12-15T06:52:00Z</cp:lastPrinted>
  <dcterms:modified xsi:type="dcterms:W3CDTF">2026-01-13T00:46:37Z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8343A38D393447D1977619E3574E201F_13</vt:lpwstr>
  </property>
</Properties>
</file>