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292"/>
        <w:gridCol w:w="704"/>
        <w:gridCol w:w="3104"/>
        <w:gridCol w:w="1108"/>
        <w:gridCol w:w="16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eastAsia="zh-CN" w:bidi="ar"/>
              </w:rPr>
              <w:t>编号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2025-JQ06-W1413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3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机关楼访客及车辆报号系统建设项目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b/>
                <w:b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需求名称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需求具体内容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基本要求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1.新建办公楼人员出入管理系统：实现工作人员（刷证/人脸识别）与外来访客（登记后刷临时码）分流管理，在指定点位安装闸机、访客机、服务器等设备，搭建局域网并铺设光缆。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2.升级车辆管理系统：更换老化设备、新建传输线缆、分离营院现有收费与非收费闸机网络（非收费闸机独立运行）。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3.系统联网整合：将人员与车辆管理系统的传输系统统一，在指定维护终端同时安装两套系统，便于统一管理。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企业承诺（可以组织踏勘）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标准规范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《安全防范工程技术规范》GB55029-2022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服务器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数量:2台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1.机架式服务器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2.CPU≥2颗32核，国产处理器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3.2.6GHz处理器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4.内存≥128G DDR4-3200，支持≥32根内存条，可扩容至4TB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5.硬盘≥4*960G SSD可扩容至12*3.5盘位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6.电源1:1冗余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7.国产操作系统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电脑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数量：3台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1.一体机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2.国产处理器，核心数≥8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3.主频≥2.5GHz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4.内存≥32G DDR4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5.硬盘≥512GB SSD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6.国产操作系统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7.配备有线键盘鼠标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8.屏幕尺寸≥23寸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汇聚交换机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数量:2台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1.配置≥12千兆光口8个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2.具备自适应电口，满配20KM以上光模块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2.包转发率置≥180pps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3.背板带宽≥336Gbps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4.交换容量≥256MGps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5.MBTI 10000小时以上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交换机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数量:11台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1.配置≥2千兆光口8自适应电口，满配20KM以上光模块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2.包转发率置≥180pps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3.背板带宽≥336Gbps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4.交换容量≥336MGps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摄像头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▲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数量：1台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1.国产红外摄像头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2.最大分辨率≥2560×1440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3.镜头视场角大于等于97-32度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4.支持≥4倍光学变焦，≥16倍数字变焦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激光打印机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▲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数量：1台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1.扫描精度≥1200dpi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2.打印精度≥1200×600dpi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3.打印速度≥15页/分钟连续输出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4.支持纸张类型：A4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5.月打印负荷≥6000张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6.纸盒容量≥100张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7.支持双面打印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8.兼容系统：兼容国产电脑操作系统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闸机专用人脸识别设备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▲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数量：2台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1.电容式触摸屏，屏幕尺寸≥7.0寸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2.双摄摄像头，像素≥200万像素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3.识别距离≤1.5米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4.人脸底库≥5000张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5.支持双目活体检测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6.内置国产CPU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7.工作温度-20℃-60℃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闸机专用读卡器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数量：2台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1.读卡距离大于等于30mm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2.阅读时间小于等于1S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3.系统匹配现有工作证（CPU卡）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4.符合ISO/IEC 14443标准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5.防护等级≥IP65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读卡器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数量：1台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1.读卡距离大于等于30mm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2.阅读时间小于等于1S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3.系统匹配现有工作证（CPU卡）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4.符合ISO/IEC 14443标准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5.防护等级≥IP65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访客机技术指标1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数量：3台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1.支持主副屏同步、异步显示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2.自动读取二代身份证，并提取身份证证件信息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3.内置凭条打印机，支持模板可编辑，支持打印二维码，具备单次进入后失效功能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4.支持人证核验功能，支持无证办理功能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13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访客机技术指标2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▲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1.双屏显示访客机，主显示器和副显示器≥15.5英寸可触摸输入显示屏，屏幕分辨率≥1920*1080。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2.支持拍照，200万像素双目宽动态摄像头，可旋转调整视角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企业提供产品说明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14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显示屏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数量：1台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1.屏幕分辨率≥1680×1050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2.壁挂式安装，含壁挂支架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3.支持≥2种接口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4.屏幕尺寸≥32寸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15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人行道闸（单机芯）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技术指标1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数量：4台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 xml:space="preserve">1.道闸高度≥1.5M 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2.通道宽度由现场实际情况进行定制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3.驱动器为直流伺服电机，具备遇阻防反弹功能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4.开闸时间≤3S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5.开闸方式支持手动、自动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6.红外感应器≥4个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7.智能功能消防强切、双向刷卡、红外防夹功能、防冲撞功能、闯关报警功能、自动复位功能、LED通行状态显示等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8.支持二维码扫描进闸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16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人行道闸（单机芯）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技术指标2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▲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1.机箱材质为304不锈钢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2.通道摆臂材质透明亚克力材质，厚度≥10MM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企业提供产品说明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17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人行道闸（双机芯）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技术指标1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数量：1台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 xml:space="preserve">1.道闸高度≥1.5M 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2.通道宽度由现场实际情况进行定制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3.驱动器为直流伺服电机，具备遇阻防反弹功能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4.开闸时间≤3S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5.开闸方式支持手动、自动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6.红外感应器≥6个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7.智能功能消防强切、双向刷卡、红外防夹功能、防冲撞功能、闯关报警功能、自动复位功能、LED通行状态显示等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8.支持二维码扫描进闸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18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人行道闸（双机芯）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技术指标2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▲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1.机箱材质为304不锈钢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2.通道摆臂材质透明亚克力材质，厚度≥10MM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企业提供产品说明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19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综合布线及现有车场闸机摄像头维修更换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1、在办公楼1层大门、办公楼1层接待室、门诊楼11层扶梯入口、南六楼4层值班室，4个点位间使用交换机组成局域网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2、将营区收费闸机和内部车场闸机物理分离，南六楼4层值班室和办公楼B2机房之间具备光缆资源，可利旧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3、新建内部车场传输路由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4、部分内部车场闸机、车牌识别设备可利旧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20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管理系统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技术指标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1.系统为本地局域网运行，支持国产化数据库及操作系统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2.系统具备查询、统计、打印功能，可根据姓名、车牌号等信息查询人员、车辆状态，支持模糊查询和精确查询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3.系统具备多级管理权限，可以设定不少于三级的管理用户，并可以配置相应的用户权限。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4.人员及车辆进出时自动记录，包含但不限于出入时间、人员车辆照片等信息，存储时间不少于1年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5.系统即时显示当日报备车辆信息，包括车牌号、车辆状态（是否进场、是否离开），并对报备车辆信息进行分类，如社会车辆、警用、军用车辆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6.可存储不少于五十万条人员信息和五十万车辆信息，人员信息包括姓名、人脸、性别、年龄、所属单位等，车辆信息包括车牌号码、车牌底色、车辆性质等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7.具备人员、访客、车辆管理模块，可设置人员权限增删改查及下发、访客进出规则、车俩进出规则，并可将数据推送至各终端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8.支持定制开发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21</w:t>
            </w:r>
          </w:p>
        </w:tc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验收标准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方法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按照投标文件、采购合同、质量标准等，组织对设备进行质量验收，出具验收报告。验收过程中对于核心参数存疑需检测的，可委托地方具有相应检测能力的机构提供技术支持。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经济要求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（不接受负偏离）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交货时间、交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货地点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合同签订后60日历天内交付，交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付地点由甲方指定。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付款及结算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方式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安装验收合格后支付合同金额95％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履约保证金/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质量保证金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验收合格后满3年无质量问题支付剩余5%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产品包装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和运输要求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按照国家、行业相关标准规范，产品确保包装完好，运输确保不对产品造成损伤。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售后服务1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（质保）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质保年限不低于3年，全年故障停机时间不高于1%（按365日/年计算)。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售后服务2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（质保）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质保期内免费提供定期维护保养服务，免费升级和维护软件，免费提供使用培训。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售后服务3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（质保）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提供不少于3人次、5天的工程师维修培训。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（响应时间）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Cs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维修响应时间≤2小时，维修到达现场时间≤4小时，问题解决时间≤24小时。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备品备件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要求（零配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件）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i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由供应商承诺项目使用寿命周期内保证零配件供应。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知识产权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投标供应商应当保证采购单位在使用该物资或其任何一部分时，不受第三方侵权指控。同时，投标供应商不得向第三方泄露采购机构提供的技术文件等材料。基于项目合同履行形成的知识产权和其他权益，其权属归采购单位所有，法律另有规定的除外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1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本项目对物资的编目编码、打码贴签要求，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eastAsia="zh-CN"/>
              </w:rPr>
              <w:t>投标供应商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</w:rPr>
              <w:t>应当予以明确响应，相关费用包含在报价中。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34754"/>
    <w:rsid w:val="04770A4C"/>
    <w:rsid w:val="1D8E530B"/>
    <w:rsid w:val="40D34754"/>
    <w:rsid w:val="44890E9D"/>
    <w:rsid w:val="46B6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2025-02-21T02:26:00Z</dcterms:created>
  <dc:creator>administrator</dc:creator>
  <cp:lastModifiedBy>administrator</cp:lastModifiedBy>
  <dcterms:modified xsi:type="dcterms:W3CDTF">2026-01-13T08:06:27Z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