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560" w:lineRule="exact"/>
        <w:ind w:firstLine="560" w:firstLineChars="200"/>
        <w:outlineLvl w:val="1"/>
        <w:rPr>
          <w:rFonts w:hint="eastAsia" w:ascii="黑体" w:hAnsi="黑体" w:cs="黑体"/>
          <w:b w:val="0"/>
          <w:sz w:val="28"/>
          <w:szCs w:val="28"/>
        </w:rPr>
      </w:pPr>
      <w:bookmarkStart w:id="0" w:name="_Toc30099"/>
      <w:bookmarkStart w:id="1" w:name="_Toc128403798"/>
      <w:bookmarkStart w:id="2" w:name="_Toc150423542"/>
      <w:bookmarkStart w:id="3" w:name="_Toc132188922"/>
      <w:bookmarkStart w:id="4" w:name="_Toc128753410"/>
      <w:bookmarkStart w:id="5" w:name="_Toc128156340"/>
      <w:bookmarkStart w:id="6" w:name="_Toc130664008"/>
      <w:bookmarkStart w:id="7" w:name="_Toc130888893"/>
      <w:bookmarkStart w:id="8" w:name="_Toc152058663"/>
      <w:bookmarkStart w:id="9" w:name="_Toc132191961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0"/>
    </w:p>
    <w:tbl>
      <w:tblPr>
        <w:tblStyle w:val="5"/>
        <w:tblW w:w="4996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3"/>
        <w:gridCol w:w="1943"/>
        <w:gridCol w:w="717"/>
        <w:gridCol w:w="4698"/>
        <w:gridCol w:w="165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签订合同付（预付）0%，物资到货（服务完成）验收后付95%。验收合格后满1年无质量问题支付剩余5%（不超过5%）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保修年限≥3年，全年故障停机时间不高于5%（按365日/年计算)。故障停机每超出1天，按两倍时间延保。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企业承诺，中标后提供原厂承诺函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提供不少于2人次、2天的工程师维修培训。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维修响应时间≤1小时，维修到达现场时间≤4小时。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由供应商承诺设备零配件供应≥ 8年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★</w:t>
            </w:r>
          </w:p>
        </w:tc>
        <w:tc>
          <w:tcPr>
            <w:tcW w:w="2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/>
        </w:rPr>
      </w:pPr>
    </w:p>
    <w:p>
      <w:pPr>
        <w:pStyle w:val="4"/>
        <w:numPr>
          <w:ilvl w:val="0"/>
          <w:numId w:val="1"/>
        </w:numPr>
        <w:spacing w:before="0" w:after="0" w:line="560" w:lineRule="exact"/>
        <w:ind w:firstLine="560" w:firstLineChars="200"/>
        <w:outlineLvl w:val="1"/>
        <w:rPr>
          <w:rFonts w:hint="eastAsia" w:ascii="黑体" w:hAnsi="黑体" w:cs="黑体"/>
          <w:b w:val="0"/>
          <w:sz w:val="28"/>
          <w:szCs w:val="28"/>
        </w:rPr>
      </w:pPr>
      <w:bookmarkStart w:id="10" w:name="_Toc4266"/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1"/>
        <w:gridCol w:w="682"/>
        <w:gridCol w:w="1130"/>
        <w:gridCol w:w="663"/>
        <w:gridCol w:w="265"/>
        <w:gridCol w:w="886"/>
        <w:gridCol w:w="2262"/>
        <w:gridCol w:w="968"/>
        <w:gridCol w:w="631"/>
        <w:gridCol w:w="155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auto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auto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5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10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2025-JQ06-W5046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动态心电记录仪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1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23万元（数量10台）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219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3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可完成对患者动态心电信号的采集与存储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注册证或技术白皮书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3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导联方式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33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12导联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频率响应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33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0.05 - 150Hz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Style w:val="7"/>
                <w:color w:val="auto"/>
                <w:lang w:val="en-US" w:eastAsia="zh-CN" w:bidi="ar"/>
              </w:rPr>
              <w:t>A/D采样</w:t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率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3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Style w:val="7"/>
                <w:color w:val="auto"/>
                <w:lang w:val="en-US" w:eastAsia="zh-CN" w:bidi="ar"/>
              </w:rPr>
              <w:t>24位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独立起搏通道检测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33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支持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起博信号检测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33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±2mV～±200mV，0.1-2.0ms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蓝牙功能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3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支持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NFC功能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33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支持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容量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33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30G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重量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3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≤10g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记录时间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33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24-72小时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事件记录按键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33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支持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工作状态指示灯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3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三色指示灯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产品说明书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运动状态监测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33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支持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多型穿戴式心电传感器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33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支持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移动端APP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33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支持心电波形冻结、截图、电池异常、导联线连接质量检测、SD卡、导联脱落等异常提示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分析工作站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33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需支持短时房颤辅助编辑功能、多种模板分析技术、散点图、HRV、心电向量图、心室晚电位、T波电交替、睡眠呼吸暂停综合征分析功能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配置要求1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3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动态心电记录仪10个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配置要求2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3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软件使用手机端（app可下载）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配置要求3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3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Style w:val="7"/>
                <w:color w:val="auto"/>
                <w:lang w:val="en-US" w:eastAsia="zh-CN" w:bidi="ar"/>
              </w:rPr>
              <w:t>软件分析</w:t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工作站1套（含电脑，印机）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3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封闭耗材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5" w:hRule="atLeast"/>
        </w:trPr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3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注：1.单一来源采购项目所有指标均不接受负偏离，经谈判后任意一项不满足采购文件要求，即按废标处理。</w:t>
            </w:r>
          </w:p>
        </w:tc>
      </w:tr>
    </w:tbl>
    <w:p>
      <w:pPr>
        <w:rPr>
          <w:rFonts w:hint="eastAsia"/>
        </w:rPr>
      </w:pPr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2"/>
        <w:gridCol w:w="1603"/>
        <w:gridCol w:w="2406"/>
        <w:gridCol w:w="1181"/>
        <w:gridCol w:w="1044"/>
        <w:gridCol w:w="1181"/>
        <w:gridCol w:w="95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动态心电记录仪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69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2025-JQ06-W5046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封闭耗材（试剂）描述</w:t>
            </w:r>
          </w:p>
        </w:tc>
        <w:tc>
          <w:tcPr>
            <w:tcW w:w="445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1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穿戴式柔性心电传感器</w:t>
            </w:r>
          </w:p>
        </w:tc>
        <w:tc>
          <w:tcPr>
            <w:tcW w:w="1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uMH E200 SPFG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uMH E200 MPFG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uMH E200 LPFG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(一个型号，三个规格)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75.6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武汉联影智融医疗科技有限公司生产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630" w:hanging="630" w:hangingChars="3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注：1.预估2年用量为开展业务所需耗材（开展项目）的测算量，与设备购置数量无关；</w:t>
            </w:r>
          </w:p>
          <w:p>
            <w:pPr>
              <w:keepNext w:val="0"/>
              <w:keepLines w:val="0"/>
              <w:widowControl/>
              <w:suppressLineNumbers w:val="0"/>
              <w:ind w:left="630" w:leftChars="200" w:hanging="210" w:hanging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2.计量单位为最小使用单位。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/>
          <w:bCs/>
          <w:snapToGrid w:val="0"/>
          <w:sz w:val="28"/>
          <w:szCs w:val="28"/>
        </w:rPr>
        <w:sectPr>
          <w:headerReference r:id="rId3" w:type="default"/>
          <w:pgSz w:w="11906" w:h="16838"/>
          <w:pgMar w:top="1418" w:right="1134" w:bottom="1418" w:left="141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linePitch="312" w:charSpace="0"/>
        </w:sectPr>
      </w:pPr>
      <w:r>
        <w:rPr>
          <w:rFonts w:ascii="宋体" w:hAnsi="宋体"/>
          <w:bCs/>
          <w:snapToGrid w:val="0"/>
          <w:sz w:val="28"/>
          <w:szCs w:val="28"/>
        </w:rPr>
        <w:br w:type="page"/>
      </w:r>
    </w:p>
    <w:p>
      <w:bookmarkStart w:id="11" w:name="_GoBack"/>
      <w:bookmarkEnd w:id="1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eepNext w:val="0"/>
      <w:keepLines w:val="0"/>
      <w:pBdr>
        <w:bottom w:val="single" w:color="auto" w:sz="4" w:space="0"/>
      </w:pBdr>
      <w:adjustRightInd w:val="0"/>
      <w:snapToGrid w:val="0"/>
      <w:spacing w:line="560" w:lineRule="exact"/>
      <w:jc w:val="center"/>
      <w:outlineLvl w:val="0"/>
      <w:rPr>
        <w:rFonts w:hint="eastAsia" w:ascii="楷体_GB2312" w:hAnsi="楷体" w:eastAsia="楷体_GB2312" w:cs="楷体"/>
        <w:b w:val="0"/>
        <w:bCs w:val="0"/>
        <w:kern w:val="2"/>
        <w:sz w:val="21"/>
        <w:szCs w:val="21"/>
        <w:lang w:val="zh-CN" w:eastAsia="zh-CN" w:bidi="ar-SA"/>
      </w:rPr>
    </w:pPr>
    <w:r>
      <w:rPr>
        <w:rFonts w:hint="eastAsia" w:ascii="楷体_GB2312" w:hAnsi="楷体" w:eastAsia="楷体_GB2312" w:cs="楷体"/>
        <w:b w:val="0"/>
        <w:bCs w:val="0"/>
        <w:kern w:val="2"/>
        <w:sz w:val="21"/>
        <w:szCs w:val="21"/>
        <w:lang w:val="zh-CN" w:eastAsia="zh-CN" w:bidi="ar-SA"/>
      </w:rPr>
      <w:t>第六章 采购项目商务和技术要求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4E65B"/>
    <w:multiLevelType w:val="singleLevel"/>
    <w:tmpl w:val="5314E65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E5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7">
    <w:name w:val="font71"/>
    <w:basedOn w:val="6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2026-01-16T02:56:31Z</dcterms:created>
  <dc:creator>admin</dc:creator>
  <cp:lastModifiedBy>admin</cp:lastModifiedBy>
  <dcterms:modified xsi:type="dcterms:W3CDTF">2026-01-16T02:57:48Z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