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jc w:val="center"/>
        <w:outlineLvl w:val="0"/>
        <w:rPr>
          <w:rFonts w:hint="eastAsia" w:eastAsia="方正小标宋简体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</w:t>
      </w:r>
    </w:p>
    <w:tbl>
      <w:tblPr>
        <w:tblStyle w:val="8"/>
        <w:tblW w:w="9498" w:type="dxa"/>
        <w:tblInd w:w="-29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992"/>
        <w:gridCol w:w="426"/>
        <w:gridCol w:w="992"/>
        <w:gridCol w:w="850"/>
        <w:gridCol w:w="1418"/>
        <w:gridCol w:w="992"/>
        <w:gridCol w:w="987"/>
        <w:gridCol w:w="709"/>
        <w:gridCol w:w="113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0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lang w:eastAsia="zh-CN"/>
              </w:rPr>
              <w:t>项目编号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lang w:val="en-US" w:eastAsia="zh-CN"/>
              </w:rPr>
              <w:t>2025-JQ06-W3549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细胞计数仪</w:t>
            </w:r>
          </w:p>
        </w:tc>
        <w:tc>
          <w:tcPr>
            <w:tcW w:w="987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最高限价（万元）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需求名称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参数</w:t>
            </w:r>
          </w:p>
          <w:p>
            <w:pPr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性质</w:t>
            </w:r>
          </w:p>
        </w:tc>
        <w:tc>
          <w:tcPr>
            <w:tcW w:w="3397" w:type="dxa"/>
            <w:gridSpan w:val="3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需求具体内容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是否</w:t>
            </w:r>
          </w:p>
          <w:p>
            <w:pPr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量化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备注（证明材料等其他要求）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498" w:type="dxa"/>
            <w:gridSpan w:val="10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技术要求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基本要求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用于细胞样品进行浓度和活率检测。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※标准规范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生产厂家具备CE认证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相关证明材料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3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检测通量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单次可自动检测多个样本，通量≥4个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光学通道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至少包含具有明场、红色荧光和绿色荧光通道。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检测浓度范围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≥3×10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vertAlign w:val="superscript"/>
              </w:rPr>
              <w:t>4～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3×10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vertAlign w:val="superscript"/>
              </w:rPr>
              <w:t>7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个/mL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细胞直径范围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2-60μm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物镜倍数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≥5倍物镜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8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单孔加样体积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≥20μL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明场照明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采用长寿命高亮度LED冷光源，寿命≥3万小时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10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对焦方式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▲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固定焦距，无需手动调焦，避免了人为误差。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11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应用模块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▲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至少包含明场、台盼蓝染色、AO/PI染色3种细胞计数功能，支持类器官消化后活率分析，GFP/RFP转染效率分析。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用户管理权限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▲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软件具有多级用户权限管理和电子签名，支持满足FDA</w:t>
            </w:r>
            <w:r>
              <w:rPr>
                <w:rFonts w:ascii="Arial" w:hAnsi="Arial" w:eastAsia="黑体" w:cs="Arial"/>
                <w:color w:val="000000"/>
                <w:kern w:val="0"/>
                <w:sz w:val="20"/>
              </w:rPr>
              <w:t> 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21</w:t>
            </w:r>
            <w:r>
              <w:rPr>
                <w:rFonts w:ascii="Arial" w:hAnsi="Arial" w:eastAsia="黑体" w:cs="Arial"/>
                <w:color w:val="000000"/>
                <w:kern w:val="0"/>
                <w:sz w:val="20"/>
              </w:rPr>
              <w:t> 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CFR</w:t>
            </w:r>
            <w:r>
              <w:rPr>
                <w:rFonts w:ascii="Arial" w:hAnsi="Arial" w:eastAsia="黑体" w:cs="Arial"/>
                <w:color w:val="000000"/>
                <w:kern w:val="0"/>
                <w:sz w:val="20"/>
              </w:rPr>
              <w:t> 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Part</w:t>
            </w:r>
            <w:r>
              <w:rPr>
                <w:rFonts w:ascii="Arial" w:hAnsi="Arial" w:eastAsia="黑体" w:cs="Arial"/>
                <w:color w:val="000000"/>
                <w:kern w:val="0"/>
                <w:sz w:val="20"/>
              </w:rPr>
              <w:t> 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11。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13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校准认证功能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▲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厂家可提供校准颗粒及IQ/OQ/PQ验证服务。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14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成像元件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▲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高清相机像素</w:t>
            </w:r>
            <w:bookmarkStart w:id="0" w:name="_GoBack"/>
            <w:bookmarkEnd w:id="0"/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≥800万，大靶面积相机，单个视野采样面积≧2.88mm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vertAlign w:val="superscript"/>
              </w:rPr>
              <w:t>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15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上样方式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采用一次性细胞计数板，避免待检测样品交叉污染。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16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成像视野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▲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每个样本可自主设置单个样品采集的独立视野数量，可设置1-5个采集视野，结果分别为1-5个视野的平均值。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17</w:t>
            </w:r>
          </w:p>
        </w:tc>
        <w:tc>
          <w:tcPr>
            <w:tcW w:w="1418" w:type="dxa"/>
            <w:gridSpan w:val="2"/>
            <w:noWrap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成像体积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▲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单个样本的检测体积≥2.5μL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是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18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显示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液晶显示屏，支持多点触控，无需外接电脑操作。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19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数据导出格式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▲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Pic、CSV、PDF、OriginalPic四种方式，OriginPic可用于AI深度学习算法库，可导出每个细胞直径大小，且图片具有标尺功能。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20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辅助功能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数据再分析、计算器、细胞标识、生长曲线。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21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内存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▲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≧1T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彩页或技术白皮书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22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配置要求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全自动细胞荧光分析仪主机（含3Q验证）三台，配套一次性细胞计数板48盒。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23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配套耗材（试剂）要求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无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24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验收标准方法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按照投标文件、采购合同、质量标准等，组织对设备进行质量验收，出具验收报告。验收过程中对于核心参数存疑需检测的，可委托地方具有相应检测能力的机构提供技术支持。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498" w:type="dxa"/>
            <w:gridSpan w:val="10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经济要求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交货时间、交货地点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合同签订后3个月内交付，交付地点由甲方指定。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付款及结算方式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物资到货（服务完成）并验收后付95%。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3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履约保证金/质量保证金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保质期满，无质量问题支付剩余5%（不超过5%）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产品包装和运输要求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按照国家、行业相关标准规范，产品确保包装完好，运输确保不对产品造成损伤。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售后服务1</w:t>
            </w:r>
          </w:p>
          <w:p>
            <w:pPr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（质保）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保修年限不低于3年，全年故障停机时间不高于5%（按365日/年计算)。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原厂授权（企业承诺）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售后服务2</w:t>
            </w:r>
          </w:p>
          <w:p>
            <w:pPr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（质保）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卖方在安装调试现场免费对买方操作及维修人员进行培训。保证操作人员能熟练掌握仪器的操作，保证维修人员能解决可能出现的一般故障。软件升级：卖方提供的随机专用软件的为用户的终生使用权。卖方承担为用户提供升级的义务，用户有自由选择升级时间的权利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售后服务3</w:t>
            </w:r>
          </w:p>
          <w:p>
            <w:pPr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（质保）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卖方要在北京有至少3个技术工程师，以便及时解答使用问题和处理售后。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8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售后服务4</w:t>
            </w:r>
          </w:p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（响应时间）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维修响应时间：24小时内作出回复，2日内派出本公司的合格的工程技术人员到达仪器现场进行维修服务。其他无法迅速解决的问题应在一周内解决或提出明确解决方案。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备品备件要求（零配件）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由供应商承诺项目使用寿命周期内保证零配件供应。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99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10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物资编目编码、打码贴签要求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247" w:type="dxa"/>
            <w:gridSpan w:val="4"/>
            <w:vAlign w:val="center"/>
          </w:tcPr>
          <w:p>
            <w:pPr>
              <w:widowControl/>
              <w:spacing w:after="0" w:line="240" w:lineRule="auto"/>
              <w:jc w:val="left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</w:rPr>
              <w:t>企业承诺</w:t>
            </w:r>
          </w:p>
        </w:tc>
      </w:tr>
    </w:tbl>
    <w:p>
      <w:pPr>
        <w:pStyle w:val="2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libaba3-4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C4A"/>
    <w:rsid w:val="000354BE"/>
    <w:rsid w:val="00184E90"/>
    <w:rsid w:val="00227461"/>
    <w:rsid w:val="00251A11"/>
    <w:rsid w:val="002809BD"/>
    <w:rsid w:val="002F6D3E"/>
    <w:rsid w:val="003A18FE"/>
    <w:rsid w:val="003A6CCD"/>
    <w:rsid w:val="00450D17"/>
    <w:rsid w:val="004725AF"/>
    <w:rsid w:val="00500BF3"/>
    <w:rsid w:val="005104CE"/>
    <w:rsid w:val="0059434D"/>
    <w:rsid w:val="006542DD"/>
    <w:rsid w:val="00674319"/>
    <w:rsid w:val="006816CA"/>
    <w:rsid w:val="0073019A"/>
    <w:rsid w:val="007D1D9B"/>
    <w:rsid w:val="007E4C4A"/>
    <w:rsid w:val="00827254"/>
    <w:rsid w:val="008B04AD"/>
    <w:rsid w:val="008C11C8"/>
    <w:rsid w:val="00A70552"/>
    <w:rsid w:val="00A96C84"/>
    <w:rsid w:val="00AC0C5D"/>
    <w:rsid w:val="00B40471"/>
    <w:rsid w:val="00B456EA"/>
    <w:rsid w:val="00BA2CE0"/>
    <w:rsid w:val="00C045C4"/>
    <w:rsid w:val="00D656C1"/>
    <w:rsid w:val="00D83A6F"/>
    <w:rsid w:val="00E00759"/>
    <w:rsid w:val="00E03E23"/>
    <w:rsid w:val="00E532B7"/>
    <w:rsid w:val="00E77A4A"/>
    <w:rsid w:val="00FB35F1"/>
    <w:rsid w:val="00FF70F6"/>
    <w:rsid w:val="686F6AD4"/>
    <w:rsid w:val="7CD0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  <w:spacing w:after="160" w:line="278" w:lineRule="auto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annotation text"/>
    <w:basedOn w:val="1"/>
    <w:link w:val="13"/>
    <w:uiPriority w:val="0"/>
    <w:pPr>
      <w:jc w:val="left"/>
    </w:pPr>
  </w:style>
  <w:style w:type="paragraph" w:styleId="4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4"/>
    <w:uiPriority w:val="0"/>
    <w:rPr>
      <w:b/>
      <w:bCs/>
    </w:rPr>
  </w:style>
  <w:style w:type="character" w:styleId="10">
    <w:name w:val="Hyperlink"/>
    <w:basedOn w:val="9"/>
    <w:uiPriority w:val="0"/>
    <w:rPr>
      <w:color w:val="0000FF"/>
      <w:u w:val="single"/>
    </w:rPr>
  </w:style>
  <w:style w:type="character" w:styleId="11">
    <w:name w:val="annotation reference"/>
    <w:basedOn w:val="9"/>
    <w:uiPriority w:val="0"/>
    <w:rPr>
      <w:sz w:val="21"/>
      <w:szCs w:val="21"/>
    </w:rPr>
  </w:style>
  <w:style w:type="character" w:customStyle="1" w:styleId="12">
    <w:name w:val="font111"/>
    <w:basedOn w:val="9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3">
    <w:name w:val="批注文字 字符"/>
    <w:basedOn w:val="9"/>
    <w:link w:val="3"/>
    <w:uiPriority w:val="0"/>
    <w:rPr>
      <w:kern w:val="2"/>
      <w:sz w:val="21"/>
    </w:rPr>
  </w:style>
  <w:style w:type="character" w:customStyle="1" w:styleId="14">
    <w:name w:val="批注主题 字符"/>
    <w:basedOn w:val="13"/>
    <w:link w:val="7"/>
    <w:uiPriority w:val="0"/>
    <w:rPr>
      <w:b/>
      <w:bCs/>
      <w:kern w:val="2"/>
      <w:sz w:val="21"/>
    </w:rPr>
  </w:style>
  <w:style w:type="character" w:customStyle="1" w:styleId="15">
    <w:name w:val="页眉 字符"/>
    <w:basedOn w:val="9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44444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1178</Words>
  <Characters>1308</Characters>
  <Lines>218</Lines>
  <Paragraphs>248</Paragraphs>
  <TotalTime>46</TotalTime>
  <ScaleCrop>false</ScaleCrop>
  <LinksUpToDate>false</LinksUpToDate>
  <CharactersWithSpaces>2238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2026-01-09T06:10:00Z</dcterms:created>
  <dc:creator>DOCTOR</dc:creator>
  <cp:lastModifiedBy>cy</cp:lastModifiedBy>
  <cp:lastPrinted>2026-01-09T07:19:00Z</cp:lastPrinted>
  <dcterms:modified xsi:type="dcterms:W3CDTF">2026-02-13T00:37:02Z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