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adjustRightInd w:val="0"/>
        <w:snapToGrid w:val="0"/>
        <w:spacing w:line="560" w:lineRule="exact"/>
        <w:jc w:val="center"/>
        <w:rPr>
          <w:b w:val="0"/>
          <w:szCs w:val="44"/>
          <w:lang w:val="zh-CN"/>
        </w:rPr>
      </w:pPr>
      <w:bookmarkStart w:id="0" w:name="_Toc9692"/>
      <w:bookmarkStart w:id="1" w:name="_Toc132186973"/>
      <w:bookmarkStart w:id="2" w:name="_Toc28545"/>
      <w:bookmarkStart w:id="3" w:name="_Toc128154366"/>
      <w:bookmarkStart w:id="4" w:name="_Toc130661176"/>
      <w:bookmarkStart w:id="5" w:name="_Toc112317781"/>
      <w:bookmarkStart w:id="6" w:name="_Toc132191257"/>
      <w:bookmarkStart w:id="7" w:name="_Toc150421246"/>
      <w:bookmarkStart w:id="8" w:name="_Toc32050"/>
      <w:bookmarkStart w:id="9" w:name="_Toc152058289"/>
      <w:bookmarkStart w:id="10" w:name="_Toc130888005"/>
      <w:bookmarkStart w:id="11" w:name="_Toc128470293"/>
      <w:bookmarkStart w:id="12" w:name="_Toc112768491"/>
      <w:bookmarkStart w:id="13" w:name="_Toc21632"/>
      <w:bookmarkStart w:id="14" w:name="_Toc30564"/>
      <w:r>
        <w:rPr>
          <w:rFonts w:hint="eastAsia"/>
          <w:b w:val="0"/>
          <w:szCs w:val="44"/>
          <w:lang w:val="zh-CN"/>
        </w:rPr>
        <w:t>第六章</w:t>
      </w:r>
      <w:r>
        <w:rPr>
          <w:b w:val="0"/>
          <w:szCs w:val="44"/>
          <w:lang w:val="zh-CN"/>
        </w:rPr>
        <w:t xml:space="preserve"> </w:t>
      </w:r>
      <w:r>
        <w:rPr>
          <w:rFonts w:hint="eastAsia"/>
          <w:b w:val="0"/>
          <w:szCs w:val="44"/>
          <w:lang w:val="zh-CN"/>
        </w:rPr>
        <w:t>采购项目商务和技术要求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15" w:name="_Toc14060"/>
      <w:bookmarkStart w:id="16" w:name="_Toc130888006"/>
      <w:bookmarkStart w:id="17" w:name="_Toc22977"/>
      <w:bookmarkStart w:id="18" w:name="_Toc132191258"/>
      <w:bookmarkStart w:id="19" w:name="_Toc150421247"/>
      <w:bookmarkStart w:id="20" w:name="_Toc112768493"/>
      <w:bookmarkStart w:id="21" w:name="_Toc128154367"/>
      <w:bookmarkStart w:id="22" w:name="_Toc132186974"/>
      <w:bookmarkStart w:id="23" w:name="_Toc13168"/>
      <w:bookmarkStart w:id="24" w:name="_Toc128470294"/>
      <w:bookmarkStart w:id="25" w:name="_Toc32238"/>
      <w:bookmarkStart w:id="26" w:name="_Toc112681847"/>
      <w:bookmarkStart w:id="27" w:name="_Toc152058290"/>
      <w:bookmarkStart w:id="28" w:name="_Toc22203"/>
      <w:bookmarkStart w:id="29" w:name="_Toc285612596"/>
      <w:r>
        <w:rPr>
          <w:rFonts w:hint="eastAsia" w:ascii="黑体" w:hAnsi="黑体" w:cs="黑体"/>
          <w:b w:val="0"/>
          <w:sz w:val="28"/>
          <w:szCs w:val="28"/>
        </w:rPr>
        <w:t>一、商务要求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tbl>
      <w:tblPr>
        <w:tblStyle w:val="6"/>
        <w:tblW w:w="8120" w:type="dxa"/>
        <w:jc w:val="center"/>
        <w:tblInd w:w="632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1483"/>
        <w:gridCol w:w="741"/>
        <w:gridCol w:w="3309"/>
        <w:gridCol w:w="759"/>
        <w:gridCol w:w="1087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交货时间、交货地点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合同签订后三个月内交付，交付地点由甲方指定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付款及结算方式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物资到货（服务完成）验收后付95%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履约保证金/质量保证金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验收合格后满一年无质量问题支付剩余5%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售后服务1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保修年限不低于三年，全年故障停机时间不高于5%（按365日/年计算)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是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原厂授权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（企业承诺）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售后服务2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（质保）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保修期内免费提供定期维护保养服务，免费升级和维护软件，免费提供使用培训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3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售后服务3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（响应时间）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维修响应时间≤4小时，京内维修到达现场时间≤12小时，京外维修到达现场时间≤48小时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8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备品备件要求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（零配件）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由供应商承诺项目使用寿命周期内保证零配件供应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4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报价供应商应当保证采购单位在使用该物资或其任何一部分时，不受第三方侵权指控。同时，报价供应商不得向第三方泄露采购机构提供的技术文件等材料。 基于项目合同履行形成的知识产权和其他权益，其权属归采购单位所有，法律另有规定的除外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  <w:jc w:val="center"/>
        </w:trPr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物资编目编码、打码贴签要求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★</w:t>
            </w:r>
          </w:p>
        </w:tc>
        <w:tc>
          <w:tcPr>
            <w:tcW w:w="33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本项目对物资的编目编码、打码贴签要求，报价供应商应当予以明确响应，相关费用包含在报价中。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10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</w:p>
    <w:bookmarkEnd w:id="29"/>
    <w:p>
      <w:pPr>
        <w:pStyle w:val="4"/>
        <w:spacing w:before="0" w:after="0" w:line="560" w:lineRule="exact"/>
        <w:ind w:firstLine="560" w:firstLineChars="200"/>
        <w:rPr>
          <w:rFonts w:hint="eastAsia" w:ascii="黑体" w:hAnsi="黑体" w:cs="黑体"/>
          <w:b w:val="0"/>
          <w:sz w:val="28"/>
          <w:szCs w:val="28"/>
        </w:rPr>
      </w:pPr>
      <w:bookmarkStart w:id="30" w:name="_Toc128397970"/>
      <w:bookmarkStart w:id="31" w:name="_Toc127820564"/>
      <w:bookmarkStart w:id="32" w:name="_Toc132190634"/>
      <w:bookmarkStart w:id="33" w:name="_Toc128150134"/>
      <w:bookmarkStart w:id="34" w:name="_Toc128150778"/>
      <w:bookmarkStart w:id="35" w:name="_Toc130887500"/>
      <w:bookmarkStart w:id="36" w:name="_Toc128151027"/>
      <w:bookmarkStart w:id="37" w:name="_Toc150418428"/>
      <w:bookmarkStart w:id="38" w:name="_Toc152057837"/>
      <w:r>
        <w:rPr>
          <w:rFonts w:hint="eastAsia" w:ascii="黑体" w:hAnsi="黑体" w:cs="黑体"/>
          <w:b w:val="0"/>
          <w:sz w:val="28"/>
          <w:szCs w:val="28"/>
        </w:rPr>
        <w:t>二、技术要求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tbl>
      <w:tblPr>
        <w:tblStyle w:val="6"/>
        <w:tblW w:w="940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717"/>
        <w:gridCol w:w="858"/>
        <w:gridCol w:w="3831"/>
        <w:gridCol w:w="879"/>
        <w:gridCol w:w="1258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参数性质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需求具体内容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是否量化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备注（证明材料等其他要求）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" w:hRule="atLeast"/>
        </w:trPr>
        <w:tc>
          <w:tcPr>
            <w:tcW w:w="940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技术要求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用于睡眠障碍患者的监测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具备NMPA认证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具备FDA认证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监测功能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监测功能包含脑电、心电、眼电、下颌肌电、鼻气流、血氧饱和度、左右腿动、鼾声、体位、胸运动、腹运动等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液晶显示屏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具有液晶显示屏，实时显示每通道波形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物理按钮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记录盒上具备物理按键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供电模式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记录盒使用5号碱性电池供电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7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心电呼吸阻抗描记技术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胸腹运动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内置体积扫描感应式胸腹绑带，具有胸腹相位分析功能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血氧传感器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放大器主机内置血氧传感器，采用通用九针接口血氧探头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相关证明材料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分析功能1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具有婴幼儿、儿童、成人三种分析功能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分析功能2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具有睡眠分期、呼吸事件、心血管事件分析、体位分析、腿动分析等功能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数据编辑功能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具有：复制数据、移动数据、删除数据、剪辑数据、合并片段数据、刻录数据、导入EDF数据等功能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上下半夜报告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具有上下半夜报告功能，通过一份报告可体现治疗前后的睡眠效率、睡眠分期、AHI、血氧饱和度、觉醒、心率变化、周期性腿动相关的觉醒变化等对比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睡眠紊乱事件自动分析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至少包含呼吸事件、血氧饱和度、自发性微觉醒、运动相关性微觉醒、呼吸相关性微觉醒、PLM腿动、鼾声及其他自定义事件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教学软件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不同医生可对同一病例进行分析，分析结果可进行匹配对比，软件能自动标记不同之处，快速跳转相应数据界面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脉搏传输时间功能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具有脉搏传输时间功能,反映睡眠呼吸事件发生时的血压变化趋势，并能判断血压与呼吸事件相关性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书签功能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 ≥100个书签功能，可快速插入书签能够准确查找异常事件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睡眠数据区分功能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自动区分多导睡眠监测、便携式睡眠监测、压力滴定测试、多次小睡试验、清醒维持试验、制动试验等测试数据，并分别进行管理和分析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9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数据调取统计功能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可批量导出EDF文件用于科研，对睡眠报告参数依据模板进行批量解析提取，可实现≥2700多个睡眠参数批量导出，对导出参数进行组合条件查询和统计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6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医院数据对接功能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可对接医院HIS提取患者数据并写入测试软件，无需二次手工输入，通过多维筛选导出监测设备的分析数据，生成数据汇总表，可对患者信息进行颜色标注，自定义分类管理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数据库功能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采用NAS搭建数据库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预约与病房管理功能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对患者测试可进行预约管理，并分配设备和房间，可根据睡眠监测中心的布局图查看一个月内患者和设备的分配情况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38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监测主机 2台、导联线 2套、睡眠分析软件 1套、睡眠数据管理软件 1套、打印机 1台、≥16T睡眠数据管理NAS服务器1套、≥55英寸显示器2套</w:t>
            </w:r>
          </w:p>
        </w:tc>
        <w:tc>
          <w:tcPr>
            <w:tcW w:w="8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</w:tbl>
    <w:p>
      <w:pPr>
        <w:pStyle w:val="4"/>
        <w:spacing w:before="0" w:after="0" w:line="560" w:lineRule="exact"/>
        <w:ind w:firstLine="560" w:firstLineChars="200"/>
        <w:rPr>
          <w:rFonts w:ascii="黑体" w:hAnsi="黑体" w:cs="黑体"/>
          <w:b w:val="0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cs="宋体"/>
          <w:kern w:val="0"/>
          <w:sz w:val="22"/>
          <w:szCs w:val="22"/>
          <w:lang w:bidi="ar"/>
        </w:rPr>
      </w:pPr>
      <w:r>
        <w:rPr>
          <w:rFonts w:ascii="宋体" w:hAnsi="宋体" w:cs="宋体"/>
          <w:kern w:val="0"/>
          <w:sz w:val="22"/>
          <w:szCs w:val="22"/>
          <w:lang w:bidi="ar"/>
        </w:rPr>
        <w:t xml:space="preserve">说明 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1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★指标为必须响应指标，任意一项不满足要求即做废标处理；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ascii="宋体" w:hAnsi="宋体" w:cs="宋体"/>
          <w:kern w:val="0"/>
          <w:sz w:val="22"/>
          <w:szCs w:val="22"/>
          <w:lang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2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</w:t>
      </w:r>
      <w:r>
        <w:rPr>
          <w:rFonts w:ascii="宋体" w:hAnsi="宋体" w:cs="宋体"/>
          <w:kern w:val="0"/>
          <w:sz w:val="22"/>
          <w:szCs w:val="22"/>
          <w:lang w:bidi="ar"/>
        </w:rPr>
        <w:t>《采购需求表》备注已明确证明材料种类的，以所注内容或国家行政管理部门、专业检测机构出具的证明材料为准。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宋体" w:hAnsi="宋体" w:eastAsia="宋体" w:cs="宋体"/>
          <w:kern w:val="0"/>
          <w:sz w:val="22"/>
          <w:szCs w:val="22"/>
          <w:lang w:eastAsia="zh-CN" w:bidi="ar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3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）▲标识的指标和“无标识”指标负偏离≥6项，投标企业技术</w:t>
      </w:r>
      <w:r>
        <w:rPr>
          <w:rFonts w:hint="eastAsia" w:ascii="宋体" w:hAnsi="宋体" w:cs="宋体"/>
          <w:kern w:val="0"/>
          <w:sz w:val="22"/>
          <w:szCs w:val="22"/>
          <w:lang w:eastAsia="zh-CN" w:bidi="ar"/>
        </w:rPr>
        <w:t>指标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分值为0分</w:t>
      </w:r>
      <w:r>
        <w:rPr>
          <w:rFonts w:hint="eastAsia" w:ascii="宋体" w:hAnsi="宋体" w:cs="宋体"/>
          <w:kern w:val="0"/>
          <w:sz w:val="22"/>
          <w:szCs w:val="22"/>
          <w:lang w:eastAsia="zh-CN" w:bidi="ar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center"/>
        <w:rPr>
          <w:rFonts w:hint="eastAsia" w:ascii="黑体" w:hAnsi="黑体" w:eastAsia="宋体" w:cs="黑体"/>
          <w:b w:val="0"/>
          <w:color w:val="FF0000"/>
          <w:sz w:val="28"/>
          <w:szCs w:val="28"/>
        </w:rPr>
      </w:pPr>
      <w:r>
        <w:rPr>
          <w:rFonts w:hint="eastAsia" w:ascii="宋体" w:hAnsi="宋体" w:cs="宋体"/>
          <w:kern w:val="0"/>
          <w:sz w:val="22"/>
          <w:szCs w:val="22"/>
          <w:lang w:bidi="ar"/>
        </w:rPr>
        <w:t>（</w:t>
      </w:r>
      <w:r>
        <w:rPr>
          <w:rFonts w:ascii="宋体" w:hAnsi="宋体" w:cs="宋体"/>
          <w:kern w:val="0"/>
          <w:sz w:val="22"/>
          <w:szCs w:val="22"/>
          <w:lang w:bidi="ar"/>
        </w:rPr>
        <w:t>4</w:t>
      </w:r>
      <w:r>
        <w:rPr>
          <w:rFonts w:hint="eastAsia" w:ascii="宋体" w:hAnsi="宋体" w:cs="宋体"/>
          <w:kern w:val="0"/>
          <w:sz w:val="22"/>
          <w:szCs w:val="22"/>
          <w:lang w:bidi="ar"/>
        </w:rPr>
        <w:t>）相关证明材料包含：产品规格表、产品宣传彩页、技术白皮书、制造商官方网站发布的产品信息、说明书或检测机构出具的检测报告、生产厂家的承诺书等。若技术指标备注中有明确证明或支撑材料要求的，应以明确要求的证明或支撑材料作为响应依据。</w:t>
      </w:r>
      <w:r>
        <w:rPr>
          <w:rFonts w:hint="eastAsia" w:ascii="宋体" w:hAnsi="宋体" w:cs="宋体"/>
          <w:kern w:val="0"/>
          <w:sz w:val="22"/>
          <w:szCs w:val="22"/>
          <w:lang w:eastAsia="zh-CN" w:bidi="ar"/>
        </w:rPr>
        <w:t>。</w:t>
      </w:r>
    </w:p>
    <w:p>
      <w:pPr>
        <w:jc w:val="left"/>
        <w:rPr>
          <w:rFonts w:hint="eastAsia" w:ascii="黑体" w:hAnsi="黑体" w:eastAsia="宋体" w:cs="黑体"/>
          <w:b w:val="0"/>
          <w:sz w:val="24"/>
          <w:szCs w:val="24"/>
        </w:rPr>
        <w:sectPr>
          <w:headerReference r:id="rId3" w:type="default"/>
          <w:pgSz w:w="11906" w:h="16838"/>
          <w:pgMar w:top="1418" w:right="1134" w:bottom="1418" w:left="1418" w:header="851" w:footer="992" w:gutter="0"/>
          <w:cols w:space="720" w:num="1"/>
          <w:docGrid w:linePitch="312" w:charSpace="0"/>
        </w:sectPr>
      </w:pPr>
      <w:r>
        <w:rPr>
          <w:rFonts w:hint="eastAsia" w:ascii="黑体" w:hAnsi="黑体" w:eastAsia="宋体" w:cs="黑体"/>
          <w:b w:val="0"/>
          <w:sz w:val="24"/>
          <w:szCs w:val="24"/>
        </w:rPr>
        <w:br w:type="page"/>
      </w:r>
    </w:p>
    <w:p>
      <w:bookmarkStart w:id="39" w:name="_GoBack"/>
      <w:bookmarkEnd w:id="3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rFonts w:hint="eastAsia" w:ascii="楷体_GB2312" w:hAnsi="楷体" w:eastAsia="楷体_GB2312" w:cs="楷体"/>
        <w:sz w:val="21"/>
        <w:szCs w:val="21"/>
        <w:lang w:eastAsia="zh-CN"/>
      </w:rPr>
    </w:pPr>
    <w:r>
      <w:rPr>
        <w:rFonts w:hint="eastAsia" w:ascii="楷体_GB2312" w:hAnsi="楷体" w:eastAsia="楷体_GB2312" w:cs="楷体"/>
        <w:sz w:val="21"/>
        <w:szCs w:val="21"/>
      </w:rPr>
      <w:t>第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六</w:t>
    </w:r>
    <w:r>
      <w:rPr>
        <w:rFonts w:hint="eastAsia" w:ascii="楷体_GB2312" w:hAnsi="楷体" w:eastAsia="楷体_GB2312" w:cs="楷体"/>
        <w:sz w:val="21"/>
        <w:szCs w:val="21"/>
      </w:rPr>
      <w:t xml:space="preserve">章 </w:t>
    </w:r>
    <w:r>
      <w:rPr>
        <w:rFonts w:hint="eastAsia" w:ascii="楷体_GB2312" w:hAnsi="楷体" w:eastAsia="楷体_GB2312" w:cs="楷体"/>
        <w:sz w:val="21"/>
        <w:szCs w:val="21"/>
        <w:lang w:eastAsia="zh-CN"/>
      </w:rPr>
      <w:t>采购项目商务和技术要求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0E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ascii="Arial" w:hAnsi="Arial" w:eastAsia="方正小标宋简体"/>
      <w:b/>
      <w:bCs/>
      <w:sz w:val="44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rFonts w:eastAsia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2026-02-25T08:40:06Z</dcterms:created>
  <dc:creator>admin</dc:creator>
  <cp:lastModifiedBy>admin</cp:lastModifiedBy>
  <dcterms:modified xsi:type="dcterms:W3CDTF">2026-02-25T08:41:01Z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