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5"/>
        <w:gridCol w:w="1292"/>
        <w:gridCol w:w="704"/>
        <w:gridCol w:w="3104"/>
        <w:gridCol w:w="1108"/>
        <w:gridCol w:w="165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0"/>
                <w:szCs w:val="20"/>
                <w:lang w:bidi="ar"/>
              </w:rPr>
              <w:t>项目</w:t>
            </w:r>
            <w:r>
              <w:rPr>
                <w:rFonts w:hint="eastAsia" w:ascii="黑体" w:hAnsi="黑体" w:eastAsia="黑体" w:cs="黑体"/>
                <w:b/>
                <w:bCs/>
                <w:kern w:val="0"/>
                <w:sz w:val="20"/>
                <w:szCs w:val="20"/>
                <w:lang w:eastAsia="zh-CN" w:bidi="ar"/>
              </w:rPr>
              <w:t>编号</w:t>
            </w: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2025-JQ06-W1413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0"/>
                <w:szCs w:val="20"/>
                <w:lang w:bidi="ar"/>
              </w:rPr>
              <w:t>项目名称</w:t>
            </w:r>
          </w:p>
        </w:tc>
        <w:tc>
          <w:tcPr>
            <w:tcW w:w="3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bidi="ar"/>
              </w:rPr>
              <w:t>机关楼访客及车辆报号系统建设项目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0"/>
                <w:szCs w:val="20"/>
                <w:lang w:bidi="ar"/>
              </w:rPr>
              <w:t>最高限价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0"/>
                <w:szCs w:val="20"/>
                <w:lang w:bidi="ar"/>
              </w:rPr>
              <w:t>（万元）</w:t>
            </w:r>
          </w:p>
        </w:tc>
        <w:tc>
          <w:tcPr>
            <w:tcW w:w="1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36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0"/>
                <w:szCs w:val="20"/>
                <w:lang w:bidi="ar"/>
              </w:rPr>
              <w:t>需求名称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0"/>
                <w:szCs w:val="20"/>
                <w:lang w:bidi="ar"/>
              </w:rPr>
              <w:t>参数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0"/>
                <w:szCs w:val="20"/>
                <w:lang w:bidi="ar"/>
              </w:rPr>
              <w:t>性质</w:t>
            </w:r>
          </w:p>
        </w:tc>
        <w:tc>
          <w:tcPr>
            <w:tcW w:w="42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0"/>
                <w:szCs w:val="20"/>
                <w:lang w:bidi="ar"/>
              </w:rPr>
              <w:t>需求具体内容</w:t>
            </w:r>
          </w:p>
        </w:tc>
        <w:tc>
          <w:tcPr>
            <w:tcW w:w="165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0"/>
                <w:szCs w:val="20"/>
                <w:lang w:bidi="ar"/>
              </w:rPr>
              <w:t>备注（证明材料等其他要求）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852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bidi="ar"/>
              </w:rPr>
              <w:t>技术要求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1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基本要求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★</w:t>
            </w:r>
          </w:p>
        </w:tc>
        <w:tc>
          <w:tcPr>
            <w:tcW w:w="42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1.新建办公楼人员出入管理系统：在指定的3个点位安装服务器、访客机等设备，搭建局域网。实现工作人员刷证、人脸识别与外来访客登记后刷临时码分流管理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2.升级车辆管理系统：更换老化闸机、摄像头，新建传输线缆</w:t>
            </w:r>
          </w:p>
        </w:tc>
        <w:tc>
          <w:tcPr>
            <w:tcW w:w="1659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/>
                <w:i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企业承诺（可以组织踏勘）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2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标准规范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★</w:t>
            </w:r>
          </w:p>
        </w:tc>
        <w:tc>
          <w:tcPr>
            <w:tcW w:w="42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《安全防范工程技术规范》GB55029-2022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3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服务器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技术指标1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★</w:t>
            </w:r>
          </w:p>
        </w:tc>
        <w:tc>
          <w:tcPr>
            <w:tcW w:w="42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1.国产品牌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2.数量:2台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3.形态：机架式服务器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4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服务器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技术指标2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▲</w:t>
            </w:r>
          </w:p>
        </w:tc>
        <w:tc>
          <w:tcPr>
            <w:tcW w:w="42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1.CPU≥2颗 单颗核心数≥32核 主频≥2.6GHz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2.内存≥128G DDR5-5600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3.安装≥1根32GDDR5-5600内存条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4.支持≥32根内存条安装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5.可扩容至4TB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6.硬盘≥4*960G SSD可扩容至12*3.5盘位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7.电源1:1冗余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5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电脑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技术指标1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★</w:t>
            </w:r>
          </w:p>
        </w:tc>
        <w:tc>
          <w:tcPr>
            <w:tcW w:w="42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1.国产品牌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2.数量：3台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3.机体结构：一体机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6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电脑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技术指标2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▲</w:t>
            </w:r>
          </w:p>
        </w:tc>
        <w:tc>
          <w:tcPr>
            <w:tcW w:w="42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1.处理器核心数≥8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2.主频≥2.5GHz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3.内存≥32G DDR5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4.硬盘≥512GB SSD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5.其他配置：配置有线键盘鼠标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6.屏幕尺寸：≥23寸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7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汇聚交换机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技术指标1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★</w:t>
            </w:r>
          </w:p>
        </w:tc>
        <w:tc>
          <w:tcPr>
            <w:tcW w:w="42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1.国产品牌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2.数量:2台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3.配置≥12千兆光口8个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8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汇聚交换机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技术指标2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▲</w:t>
            </w:r>
          </w:p>
        </w:tc>
        <w:tc>
          <w:tcPr>
            <w:tcW w:w="42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1.具备自适应电口，满配20KM以上光模块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2.包转发率置≥180pps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3.背板带宽≥336Gbps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4.交换容量≥256MGps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5.MBTI 10000小时以上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9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摄像头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技术指标1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★</w:t>
            </w:r>
          </w:p>
        </w:tc>
        <w:tc>
          <w:tcPr>
            <w:tcW w:w="42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1.数量：1台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2.国产品牌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/>
                <w:iCs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10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摄像头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技术指标2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▲</w:t>
            </w:r>
          </w:p>
        </w:tc>
        <w:tc>
          <w:tcPr>
            <w:tcW w:w="42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1.最大分辨率≥2560×1440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2.镜头视场角大于等于97-32度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3.支持≥4倍光学变焦，≥16倍数字变焦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/>
                <w:iCs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11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激光打印机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技术指标1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★</w:t>
            </w:r>
          </w:p>
        </w:tc>
        <w:tc>
          <w:tcPr>
            <w:tcW w:w="42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1.数量：1台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2.自动双面打印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3.国产品牌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4.配置2个墨盒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/>
                <w:iCs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12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激光打印机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技术指标2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▲</w:t>
            </w:r>
          </w:p>
        </w:tc>
        <w:tc>
          <w:tcPr>
            <w:tcW w:w="42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1.扫描精度≥1200dpi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2.打印精度≥1200×600dpi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3.打印速度≥15页/分钟连续输出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4.支持纸张类型：A4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5.月打印负荷≥6000张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6.纸盒容量≥100张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/>
                <w:iCs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13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闸机专用人脸识别设备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技术指标1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★</w:t>
            </w:r>
          </w:p>
        </w:tc>
        <w:tc>
          <w:tcPr>
            <w:tcW w:w="42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1.数量：2台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2.人脸底库≥5000张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3.支持双目活体检测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4.国产品牌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/>
                <w:iCs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14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闸机专用人脸识别设备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技术指标2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▲</w:t>
            </w:r>
          </w:p>
        </w:tc>
        <w:tc>
          <w:tcPr>
            <w:tcW w:w="42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1.电容式触摸屏，屏幕尺寸≥7.0寸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2.双摄摄像头，像素≥200万像素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3.识别距离≤1.5米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4.工作温度-20℃-60℃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/>
                <w:iCs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15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闸机专用读卡器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技术指标1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★</w:t>
            </w:r>
          </w:p>
        </w:tc>
        <w:tc>
          <w:tcPr>
            <w:tcW w:w="42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1.数量：2台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2.系统要求：匹配现有工作证、门禁卡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3.国产品牌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/>
                <w:iCs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16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闸机专用读卡器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技术指标2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▲</w:t>
            </w:r>
          </w:p>
        </w:tc>
        <w:tc>
          <w:tcPr>
            <w:tcW w:w="42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1.读卡距离大于等于30mm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2.阅读时间小于等于1S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3.符合ISO/IEC 14443标准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4.防护等级≥IP65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/>
                <w:iCs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17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/>
                <w:iCs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读卡器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技术指标1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★</w:t>
            </w:r>
          </w:p>
        </w:tc>
        <w:tc>
          <w:tcPr>
            <w:tcW w:w="42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1.数量：1台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2.系统要求：匹配现有工作证、门禁卡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3.品牌：国产品牌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4.符合ISO/IEC 14443标准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  <w:lang w:eastAsia="zh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18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读卡器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技术指标2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▲</w:t>
            </w:r>
          </w:p>
        </w:tc>
        <w:tc>
          <w:tcPr>
            <w:tcW w:w="42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1.读卡距离大于等于30mm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2.阅读时间小于等于1S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3.防护等级≥IP65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  <w:lang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19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围  挡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★</w:t>
            </w:r>
          </w:p>
        </w:tc>
        <w:tc>
          <w:tcPr>
            <w:tcW w:w="42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1.结构材质：不锈钢、亚克力、钢化玻璃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2.建设样式：与建设位置现有天井围挡一致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3.围挡形势：全封闭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4.围挡长度：≥30米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20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访客机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技术指标1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★</w:t>
            </w:r>
          </w:p>
        </w:tc>
        <w:tc>
          <w:tcPr>
            <w:tcW w:w="42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1.数量：2台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2.国产品牌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3.自动读取二代身份证，并提取身份证证件信息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4.内置凭条打印机，支持模板可编辑，支持打印二维码，具备单次进入后失效功能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5.支持人证核验功能，支持无证办理功能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21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访客机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技术指标2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▲</w:t>
            </w:r>
          </w:p>
        </w:tc>
        <w:tc>
          <w:tcPr>
            <w:tcW w:w="42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1.支持主副屏同步、异步显示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2.双屏显示访客机，主显示器和副显示器≥15.5英寸可触摸输入显示屏，屏幕分辨率≥1920*1080。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3.支持拍照，200万像素双目宽动态摄像头，可旋转调整视角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22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显示屏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★</w:t>
            </w:r>
          </w:p>
        </w:tc>
        <w:tc>
          <w:tcPr>
            <w:tcW w:w="42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数量：1台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1.屏幕分辨率≥1680×1050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2.壁挂式安装，含壁挂支架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3.支持≥2种接口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4.屏幕尺寸≥32寸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5.国产品牌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23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人行道闸（单机芯）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技术指标1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★</w:t>
            </w:r>
          </w:p>
        </w:tc>
        <w:tc>
          <w:tcPr>
            <w:tcW w:w="42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1.数量：4台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2.其中2台道闸、闸门高度≥1.5M；2台道闸安装通道宽度为1.7米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3.国产品牌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4.开闸时间≤3S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5.开闸方式支持手动、自动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6.支持二维码扫描进闸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24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人行道闸（单机芯）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技术指标2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▲</w:t>
            </w:r>
          </w:p>
        </w:tc>
        <w:tc>
          <w:tcPr>
            <w:tcW w:w="42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1.机箱材质为304不锈钢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2.通道摆臂：材质为透明亚克力，厚度≥10MM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3.驱动器：直流伺服电机，具备遇阻防反弹功能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4.红外感应器≥4个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5.智能功能：具备消防强切、双向刷卡、红外防夹功能、防冲撞功能、闯关报警功能、自动复位功能、LED通行状态显示等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25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人行道闸（双机芯）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技术指标1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★</w:t>
            </w:r>
          </w:p>
        </w:tc>
        <w:tc>
          <w:tcPr>
            <w:tcW w:w="42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1.数量：1台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 xml:space="preserve">2.道闸高度≥1.5M 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3.国产品牌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4.开闸时间≤3S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5.开闸方式支持手动、自动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6.支持二维码扫描进闸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26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人行道闸（双机芯）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技术指标2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▲</w:t>
            </w:r>
          </w:p>
        </w:tc>
        <w:tc>
          <w:tcPr>
            <w:tcW w:w="42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1.机箱材质为304不锈钢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2.通道摆臂：材质为透明亚克力，厚度≥10MM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3.驱动器：直流伺服电机，具备遇阻防反弹功能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4.红外感应器≥4个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5.智能功能：具备消防强切、双向刷卡、红外防夹功能、防冲撞功能、闯关报警功能、自动复位功能、LED通行状态显示等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27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综合布线及现有车场闸机摄像头维修更换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★</w:t>
            </w:r>
          </w:p>
        </w:tc>
        <w:tc>
          <w:tcPr>
            <w:tcW w:w="42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1、在指定4个点位间使用交换机铺设光缆组成局域网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2、新建内部车场传输线缆，更换内部车场老旧闸机、车牌识别摄像头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28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管理系统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技术指标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★</w:t>
            </w:r>
          </w:p>
        </w:tc>
        <w:tc>
          <w:tcPr>
            <w:tcW w:w="42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1.系统为本地局域网运行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2.系统具备查询、统计、打印功能，可根据姓名、车牌号等信息查询人员、车辆状态，支持模糊查询和精确查询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3.系统具备多级管理权限，可以设定不少于三级的管理用户，并可以配置相应的用户权限。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4.人员及车辆进出时自动记录，包含但不限于出入时间、人员车辆照片等信息，存储时间不少于1年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5.系统即时显示当日报备车辆信息，包括车牌号、车辆状态（是否进场、是否离开），并对报备车辆信息进行分类，如社会车辆、警用、军用车辆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6.可存储不少于五十万条人员信息和五十万辆车辆信息，人员信息包括姓名、人脸照片、性别、年龄、所属单位等，车辆信息包括车牌号码、车牌底色、车辆性质等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7.具备人员、访客、车辆管理模块，可设置人员权限增删改查及下发、访客进出规则、车俩进出规则，并可将数据推送至各终端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8.将人员部门、证件照片等基本信息导入现有胸卡、门禁卡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9.系统支持定制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8522" w:type="dxa"/>
            <w:gridSpan w:val="6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bidi="ar"/>
              </w:rPr>
              <w:t>经济要求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 w:bidi="ar"/>
              </w:rPr>
              <w:t>（不接受负偏离）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1</w:t>
            </w: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交货时间、交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货地点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★</w:t>
            </w:r>
          </w:p>
        </w:tc>
        <w:tc>
          <w:tcPr>
            <w:tcW w:w="42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合同签订后60日历天内交付，交付地点由甲方指定。</w:t>
            </w:r>
          </w:p>
        </w:tc>
        <w:tc>
          <w:tcPr>
            <w:tcW w:w="1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val="en-US" w:eastAsia="zh-CN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2</w:t>
            </w: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付款及结算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方式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★</w:t>
            </w:r>
          </w:p>
        </w:tc>
        <w:tc>
          <w:tcPr>
            <w:tcW w:w="42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安装验收合格后支付合同金额95％</w:t>
            </w:r>
          </w:p>
        </w:tc>
        <w:tc>
          <w:tcPr>
            <w:tcW w:w="1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val="en-US" w:eastAsia="zh-CN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3</w:t>
            </w: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履约保证金/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质量保证金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★</w:t>
            </w:r>
          </w:p>
        </w:tc>
        <w:tc>
          <w:tcPr>
            <w:tcW w:w="42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验收合格后满3年无质量问题支付剩余5%</w:t>
            </w:r>
          </w:p>
        </w:tc>
        <w:tc>
          <w:tcPr>
            <w:tcW w:w="1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val="en-US" w:eastAsia="zh-CN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4</w:t>
            </w: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产品包装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和运输要求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★</w:t>
            </w:r>
          </w:p>
        </w:tc>
        <w:tc>
          <w:tcPr>
            <w:tcW w:w="42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按照国家、行业相关标准规范，产品确保包装完好，运输确保不对产品造成损伤。</w:t>
            </w:r>
          </w:p>
        </w:tc>
        <w:tc>
          <w:tcPr>
            <w:tcW w:w="1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val="en-US" w:eastAsia="zh-CN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5</w:t>
            </w: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售后服务1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（质保）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★</w:t>
            </w:r>
          </w:p>
        </w:tc>
        <w:tc>
          <w:tcPr>
            <w:tcW w:w="42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质保期（不低于3年）内免费提供定期维护保养服务，免费升级和维护软件，免费提供使用培训。</w:t>
            </w:r>
          </w:p>
        </w:tc>
        <w:tc>
          <w:tcPr>
            <w:tcW w:w="1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val="en-US" w:eastAsia="zh-CN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6</w:t>
            </w: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售后服务2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（质保）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★</w:t>
            </w:r>
          </w:p>
        </w:tc>
        <w:tc>
          <w:tcPr>
            <w:tcW w:w="42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提供不少于3人次、5天的工程师维修培训。</w:t>
            </w:r>
          </w:p>
        </w:tc>
        <w:tc>
          <w:tcPr>
            <w:tcW w:w="1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val="en-US" w:eastAsia="zh-CN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7</w:t>
            </w: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售后服务3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（响应时间）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★</w:t>
            </w:r>
          </w:p>
        </w:tc>
        <w:tc>
          <w:tcPr>
            <w:tcW w:w="42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维修响应时间≤1小时，可通过视频通话方式协助解决问题；必要到场维修时间≤24小时；问题解决时间≤48小时。</w:t>
            </w:r>
          </w:p>
        </w:tc>
        <w:tc>
          <w:tcPr>
            <w:tcW w:w="1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val="en-US" w:eastAsia="zh-CN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8</w:t>
            </w: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售后服务4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（质保）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★</w:t>
            </w:r>
          </w:p>
        </w:tc>
        <w:tc>
          <w:tcPr>
            <w:tcW w:w="42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质保期内非甲方人为原因导致的设备无法正常运行，乙方需在48小时内更换与本需求相符合的设施设备。</w:t>
            </w:r>
          </w:p>
        </w:tc>
        <w:tc>
          <w:tcPr>
            <w:tcW w:w="1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val="en-US" w:eastAsia="zh-CN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9</w:t>
            </w: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备品备件要求</w:t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（零配件）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★</w:t>
            </w:r>
          </w:p>
        </w:tc>
        <w:tc>
          <w:tcPr>
            <w:tcW w:w="42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default" w:ascii="黑体" w:hAnsi="黑体" w:eastAsia="黑体" w:cs="黑体"/>
                <w:iCs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由供应商承诺项目使用寿命周期内保证零配件供应。</w:t>
            </w:r>
          </w:p>
        </w:tc>
        <w:tc>
          <w:tcPr>
            <w:tcW w:w="1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val="en-US" w:eastAsia="zh-CN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  <w:lang w:eastAsia="zh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10</w:t>
            </w: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eastAsia="zh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知识产权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★</w:t>
            </w:r>
          </w:p>
        </w:tc>
        <w:tc>
          <w:tcPr>
            <w:tcW w:w="42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Times New Roman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报价供应商应当保证采购单位在使用该物资或其任何一部分时，不受第三方侵权指控。同时，报价供应商不得向第三方泄露采购机构提供的技术文件等材料。基于项目合同履行形成的知识产权和其他权益，其权属归采购单位所有，法律另有规定的除外。</w:t>
            </w:r>
          </w:p>
        </w:tc>
        <w:tc>
          <w:tcPr>
            <w:tcW w:w="1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val="en-US" w:eastAsia="zh-CN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11</w:t>
            </w: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物资编目编码、打码贴签要求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★</w:t>
            </w:r>
          </w:p>
        </w:tc>
        <w:tc>
          <w:tcPr>
            <w:tcW w:w="42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</w:rPr>
              <w:t>本项目对物资的编目编码、打码贴签要求，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lang w:eastAsia="zh-CN"/>
              </w:rPr>
              <w:t>投标供应商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</w:rPr>
              <w:t>应当予以明确响应，相关费用包含在报价中。</w:t>
            </w:r>
          </w:p>
        </w:tc>
        <w:tc>
          <w:tcPr>
            <w:tcW w:w="1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val="en-US" w:eastAsia="zh-CN"/>
              </w:rPr>
              <w:t>企业承诺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D34754"/>
    <w:rsid w:val="04770A4C"/>
    <w:rsid w:val="1D8E530B"/>
    <w:rsid w:val="40D34754"/>
    <w:rsid w:val="44890E9D"/>
    <w:rsid w:val="46B67806"/>
    <w:rsid w:val="63BB2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2025-02-21T02:26:00Z</dcterms:created>
  <dc:creator>administrator</dc:creator>
  <cp:lastModifiedBy>administrator</cp:lastModifiedBy>
  <dcterms:modified xsi:type="dcterms:W3CDTF">2026-04-07T08:01:42Z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