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28154366"/>
      <w:bookmarkStart w:id="1" w:name="_Toc30564"/>
      <w:bookmarkStart w:id="2" w:name="_Toc132186973"/>
      <w:bookmarkStart w:id="3" w:name="_Toc32050"/>
      <w:bookmarkStart w:id="4" w:name="_Toc132191257"/>
      <w:bookmarkStart w:id="5" w:name="_Toc28545"/>
      <w:bookmarkStart w:id="6" w:name="_Toc128470293"/>
      <w:bookmarkStart w:id="7" w:name="_Toc21632"/>
      <w:bookmarkStart w:id="8" w:name="_Toc130888005"/>
      <w:bookmarkStart w:id="9" w:name="_Toc130661176"/>
      <w:bookmarkStart w:id="10" w:name="_Toc112317781"/>
      <w:bookmarkStart w:id="11" w:name="_Toc112768491"/>
      <w:bookmarkStart w:id="12" w:name="_Toc150421246"/>
      <w:bookmarkStart w:id="13" w:name="_Toc152058289"/>
      <w:bookmarkStart w:id="14" w:name="_Toc9692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12681847"/>
      <w:bookmarkStart w:id="16" w:name="_Toc14060"/>
      <w:bookmarkStart w:id="17" w:name="_Toc150421247"/>
      <w:bookmarkStart w:id="18" w:name="_Toc152058290"/>
      <w:bookmarkStart w:id="19" w:name="_Toc32238"/>
      <w:bookmarkStart w:id="20" w:name="_Toc132186974"/>
      <w:bookmarkStart w:id="21" w:name="_Toc128154367"/>
      <w:bookmarkStart w:id="22" w:name="_Toc132191258"/>
      <w:bookmarkStart w:id="23" w:name="_Toc22977"/>
      <w:bookmarkStart w:id="24" w:name="_Toc130888006"/>
      <w:bookmarkStart w:id="25" w:name="_Toc13168"/>
      <w:bookmarkStart w:id="26" w:name="_Toc22203"/>
      <w:bookmarkStart w:id="27" w:name="_Toc112768493"/>
      <w:bookmarkStart w:id="28" w:name="_Toc128470294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合同签订后，货物验收合格后6个月内结清全部货款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在结清货款前，中标供应商根据医院合同执行部门出具的质保金缴纳凭证，向医院财务部门交纳合同总金额5%作为质量保证金，质保期满后无息退还质量保证金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保修期内免费提供定期设备维护保养服务，免费升级和维护软件，免费提供使用培训；保修期外，原软件维护仅收工时费。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提供不少于3人次、1天的工程师维修培训。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维修响应时间≤0.5个工作日（京内）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描述应提供的配套专修工具和使用工具。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52057837"/>
      <w:bookmarkStart w:id="45" w:name="_Toc150418428"/>
      <w:bookmarkStart w:id="46" w:name="_Toc127820564"/>
      <w:bookmarkStart w:id="47" w:name="_Toc130887500"/>
      <w:bookmarkStart w:id="48" w:name="_Toc128150134"/>
      <w:bookmarkStart w:id="49" w:name="_Toc132190634"/>
      <w:bookmarkStart w:id="50" w:name="_Toc128150778"/>
      <w:bookmarkStart w:id="51" w:name="_Toc128151027"/>
      <w:bookmarkStart w:id="52" w:name="_Toc128397970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694"/>
        <w:gridCol w:w="849"/>
        <w:gridCol w:w="3977"/>
        <w:gridCol w:w="834"/>
        <w:gridCol w:w="15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可对成人、小儿和新生儿患者的心电、无创血压、血氧饱和度、呼吸、脉搏、体温、有创血压进行监护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CFDA认证，CE认证或FDA认证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散热结构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无风扇散热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屏幕尺寸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≥9英寸彩色触摸屏，支持橡胶手套操作，分辨率≥800*480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波形数量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具有波形冻结功能，科分别冻结所有可显示的单个波形，不影响气筒是世博行的显示和全部参数的报警，≥5通道波形显示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亮度调节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可根据环境光线情况自动调节屏幕显示亮度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无线遥控器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可升级无线遥控器远距离操作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转运模块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可插入转运模块，监护仪主机屏幕和模块屏幕能同时操作与查看，在患者转运过程中，不用插拔患者身上各种监测参数电缆，可直接将基本测量模块作为独立的监护仪转运使用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多参数插件模块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具备，可支持≥10种功能同时监测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多参数组合模块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可升级高级多参数组合模块，一个测量模块能够同时监测呼气末二氧化碳、双有创血压和PICCO及传统心排量，可同时实现重症患者的血流动力学及通气功能评估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自定显示界面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可根据临床需求自定显示界面≥10种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自动调整动态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波形大小功能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重叠波形显示区域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屏幕上可设置“重叠波形显示区域”，在此区域内，可选择不同波形进行重叠显示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波形冻结功能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心电监测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可用≤6个电极，获得实时的同屏12导联心电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心电监护带宽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满足0.05Hz-150Hz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心律失常分析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具备≥23种心律失常分析，其中非致命性心律失常可根据临床需求单独开启或关闭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ST段显示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≥12导联ECG和12导联ST值同屏实时更新显示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 指数值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提供ST 指数值 （基于V2、V5 和 aVF 导联ST数值 绝对值的总和）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具有血管内测量法和水银柱测量法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测量模式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≥4种模式测量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序列测量模式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可根据患者的病情设定测量次数与间隔时间的组合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脉搏血氧饱和度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指套式传感器，配备可升级</w:t>
            </w:r>
            <w:r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Masimo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血氧监测功能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脉搏血氧饱和度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灌注指数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具有灌注指数显示，指示外周小动脉充盈状态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智能延迟报警技术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具备，可过滤无意义的报警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有创压力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测压范围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-40mmHg至360mmHg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有创压力监测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提供脉搏压力变异(PPV)实时显示，肺动脉楔压（PAWP），腹内压（IAP）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体温探头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可使用一次性和可重复使用体温探头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体温温度标名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根据不同测量部位，有相应温度标名(如皮肤温,肛温,鼻咽温等)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数据存储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监护仪可储存≥48小时趋势，并可以表格和图形形式进行回顾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临床决策支持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1、目标导向性治疗决策支持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2、可设置各个参数的治疗目标值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3、可用柱状图显示当前值与目标值的偏移程度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4、可用箭头方式显示监测参数变化趋势，进行前瞻性风险评估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5、可使用环状图显示ST段抬高和压低趋势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6、可提供趋势视图，根据同时显示的不同颜色的环形图，动态观察ST段的变化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7、对于ST段抬高型患者，增加区分性别的 STE 限值，超过这些限值的 ST 值标为红色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多参数监护仪（带有创压）10套（每套含主机*1、心电导联线*1、血氧线*1、血压线及袖带*1，有创血压*1、体温探头*1等其他附件）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widowControl/>
        <w:adjustRightInd w:val="0"/>
        <w:snapToGrid w:val="0"/>
        <w:spacing w:line="560" w:lineRule="exact"/>
        <w:jc w:val="left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Start w:id="53" w:name="_GoBack"/>
      <w:bookmarkEnd w:id="5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7C45DA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879DD"/>
    <w:rsid w:val="2C215763"/>
    <w:rsid w:val="2C831077"/>
    <w:rsid w:val="2CA62C6E"/>
    <w:rsid w:val="2DCF44E2"/>
    <w:rsid w:val="2E1B296B"/>
    <w:rsid w:val="2E262354"/>
    <w:rsid w:val="2E552C39"/>
    <w:rsid w:val="2F8B25F1"/>
    <w:rsid w:val="30843362"/>
    <w:rsid w:val="326276D3"/>
    <w:rsid w:val="32FA32FE"/>
    <w:rsid w:val="33362F8C"/>
    <w:rsid w:val="339A10EE"/>
    <w:rsid w:val="33B757FC"/>
    <w:rsid w:val="33B83430"/>
    <w:rsid w:val="33E5792B"/>
    <w:rsid w:val="3437693D"/>
    <w:rsid w:val="35C91DF7"/>
    <w:rsid w:val="36623A07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7A65E5C"/>
    <w:rsid w:val="47C00CCC"/>
    <w:rsid w:val="47D66741"/>
    <w:rsid w:val="4819246C"/>
    <w:rsid w:val="48194B54"/>
    <w:rsid w:val="48C60564"/>
    <w:rsid w:val="49042E3A"/>
    <w:rsid w:val="49494CF1"/>
    <w:rsid w:val="49730518"/>
    <w:rsid w:val="4B9141F7"/>
    <w:rsid w:val="4BD50ABE"/>
    <w:rsid w:val="4C001FDF"/>
    <w:rsid w:val="4DC42B98"/>
    <w:rsid w:val="4F4918BD"/>
    <w:rsid w:val="4F5E5CF3"/>
    <w:rsid w:val="4F7B1510"/>
    <w:rsid w:val="4F9A62A6"/>
    <w:rsid w:val="50F32112"/>
    <w:rsid w:val="514D61C2"/>
    <w:rsid w:val="51560854"/>
    <w:rsid w:val="518A3E70"/>
    <w:rsid w:val="518A6447"/>
    <w:rsid w:val="52293911"/>
    <w:rsid w:val="522B5E7C"/>
    <w:rsid w:val="523E5075"/>
    <w:rsid w:val="531558BC"/>
    <w:rsid w:val="53EB539E"/>
    <w:rsid w:val="5422054D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A113609"/>
    <w:rsid w:val="5ACA4DFD"/>
    <w:rsid w:val="5AD6055C"/>
    <w:rsid w:val="5B0176E4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111</Pages>
  <Words>42474</Words>
  <Characters>44202</Characters>
  <Lines>377</Lines>
  <Paragraphs>106</Paragraphs>
  <TotalTime>2</TotalTime>
  <ScaleCrop>false</ScaleCrop>
  <LinksUpToDate>false</LinksUpToDate>
  <CharactersWithSpaces>48659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2025-06-11T09:02:00Z</cp:lastPrinted>
  <dcterms:modified xsi:type="dcterms:W3CDTF">2026-04-08T00:16:34Z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